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40"/>
        <w:jc w:val="center"/>
      </w:pPr>
      <w:r>
        <w:drawing>
          <wp:inline xmlns:a="http://schemas.openxmlformats.org/drawingml/2006/main" xmlns:pic="http://schemas.openxmlformats.org/drawingml/2006/picture">
            <wp:extent cx="3600000" cy="1200000"/>
            <wp:docPr id="3" name="Picture 3"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3600000" cy="1200000"/>
                    </a:xfrm>
                    <a:prstGeom prst="rect"/>
                  </pic:spPr>
                </pic:pic>
              </a:graphicData>
            </a:graphic>
          </wp:inline>
        </w:drawing>
      </w:r>
    </w:p>
    <w:p>
      <w:pPr>
        <w:spacing w:after="160"/>
        <w:jc w:val="center"/>
      </w:pPr>
      <w:r>
        <w:rPr>
          <w:rFonts w:ascii="Aptos Display" w:hAnsi="Aptos Display"/>
          <w:b/>
          <w:i w:val="0"/>
          <w:color w:val="17324D"/>
          <w:sz w:val="38"/>
        </w:rPr>
        <w:t>Git und GitHub im Webprojekt</w:t>
      </w:r>
    </w:p>
    <w:p>
      <w:pPr>
        <w:spacing w:after="240"/>
        <w:jc w:val="center"/>
      </w:pPr>
      <w:r>
        <w:rPr>
          <w:rFonts w:ascii="Aptos Display" w:hAnsi="Aptos Display"/>
          <w:b/>
          <w:i w:val="0"/>
          <w:color w:val="007C83"/>
          <w:sz w:val="21"/>
        </w:rPr>
        <w:t>Vom lokalen Arbeitsstand zur geprüften Zusammenarbeit</w:t>
      </w:r>
    </w:p>
    <w:p>
      <w:pPr>
        <w:spacing w:before="180" w:after="140"/>
        <w:jc w:val="center"/>
      </w:pPr>
      <w:r>
        <w:rPr>
          <w:rFonts w:ascii="Aptos Display" w:hAnsi="Aptos Display"/>
          <w:b/>
          <w:i w:val="0"/>
          <w:color w:val="267365"/>
          <w:sz w:val="19"/>
        </w:rPr>
        <w:t>lokal arbeiten · Änderungen dokumentieren · Zusammenarbeit prüfen</w:t>
      </w:r>
    </w:p>
    <w:p>
      <w:pPr>
        <w:spacing w:after="120"/>
        <w:jc w:val="center"/>
      </w:pPr>
      <w:r>
        <w:rPr>
          <w:rFonts w:ascii="Aptos" w:hAnsi="Aptos"/>
          <w:b w:val="0"/>
          <w:i w:val="0"/>
          <w:color w:val="78909C"/>
          <w:sz w:val="16"/>
        </w:rPr>
        <w:t>BKWI1 und berufliches Gymnasium mit reduziertem Kernpfad</w:t>
        <w:br/>
        <w:t>Didaktisch erweiterte Kursfassung · A5 · Schuljahr 2026/2027 · v1.1 · Serienmaster R7</w:t>
      </w:r>
    </w:p>
    <w:p>
      <w:pPr>
        <w:spacing w:before="80" w:after="60"/>
        <w:jc w:val="center"/>
      </w:pPr>
      <w:r>
        <w:rPr>
          <w:rFonts w:ascii="Aptos" w:hAnsi="Aptos"/>
          <w:b/>
          <w:i w:val="0"/>
          <w:color w:val="267365"/>
          <w:sz w:val="15"/>
        </w:rPr>
        <w:t>Christine Janischek · Lizenz Custom License NC School-Only 1.0 · emotionalspirit.de</w:t>
      </w:r>
    </w:p>
    <w:p>
      <w:pPr>
        <w:jc w:val="center"/>
      </w:pPr>
      <w:r>
        <w:rPr>
          <w:rFonts w:ascii="Aptos" w:hAnsi="Aptos"/>
          <w:b w:val="0"/>
          <w:i/>
          <w:color w:val="78909C"/>
          <w:sz w:val="14"/>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4" w:name="inhalt"/>
      <w:bookmarkEnd w:id="14"/>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18"/>
            <w:szCs w:val="18"/>
          </w:rPr>
          <w:t>Versionsverwaltung verstehen</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18"/>
            <w:szCs w:val="18"/>
          </w:rPr>
          <w:t>Sicher und datensparsam arbeiten</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18"/>
            <w:szCs w:val="18"/>
          </w:rPr>
          <w:t>Ein lokales Repository starten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18"/>
            <w:szCs w:val="18"/>
          </w:rPr>
          <w:t>Änderungen mit Commits dokumentieren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18"/>
            <w:szCs w:val="18"/>
          </w:rPr>
          <w:t>README und Markdown nutzen</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18"/>
            <w:szCs w:val="18"/>
          </w:rPr>
          <w:t>Issues mit Akzeptanzkriterien planen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18"/>
            <w:szCs w:val="18"/>
          </w:rPr>
          <w:t>Branches sicher einsetzen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18"/>
            <w:szCs w:val="18"/>
          </w:rPr>
          <w:t>Pull Requests und Reviews prüfen</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18"/>
            <w:szCs w:val="18"/>
          </w:rPr>
          <w:t>Merge Konflikte verstehen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18"/>
            <w:szCs w:val="18"/>
          </w:rPr>
          <w:t>Release und Projektübergabe</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18"/>
            <w:szCs w:val="18"/>
          </w:rPr>
          <w:t>Abschlussportfolio und Selbstcheck</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18"/>
            <w:szCs w:val="18"/>
          </w:rPr>
          <w:t>Quellen und Lizenz</w:t>
        </w:r>
      </w:hyperlink>
    </w:p>
    <w:p/>
    <w:p>
      <w:pPr>
        <w:pStyle w:val="Heading1"/>
      </w:pPr>
      <w:r>
        <w:t>So arbeitest du mit diesem Skript</w:t>
      </w:r>
    </w:p>
    <w:p>
      <w:r>
        <w:t>Jedes Modul beginnt mit einer konkreten Situation. Bearbeite zuerst den eigenen Versuch, nutze Hilfen stufenweise und prüfe dein Ergebnis. Pflichtaufgaben bilden den Kernpfad; Vertiefungen sind für schnelles Arbeiten oder zusätzliche Unterrichtszeit gedacht.</w:t>
      </w:r>
    </w:p>
    <w:p>
      <w:r>
        <w:t>Lizenz und Transparenz: Sofern nicht anders angegeben, gilt CC BY-SA 4.0. Das Skript wurde mit KI-Unterstützung erstellt und redaktionell geprüft; Fehler und Verbesserungsvorschläge bitte an Christine Janischek melden.</w:t>
      </w:r>
    </w:p>
    <w:tbl>
      <w:tblPr>
        <w:tblW w:type="auto" w:w="0"/>
        <w:jc w:val="center"/>
        <w:tblLook w:firstColumn="1" w:firstRow="1" w:lastColumn="0" w:lastRow="0" w:noHBand="0" w:noVBand="1" w:val="04A0"/>
      </w:tblPr>
      <w:tblGrid>
        <w:gridCol w:w="6861"/>
      </w:tblGrid>
      <w:tr>
        <w:tc>
          <w:tcPr>
            <w:tcW w:type="dxa" w:w="6861"/>
            <w:shd w:fill="FFF2CC"/>
            <w:tcBorders>
              <w:top w:val="single" w:sz="8" w:color="267365"/>
              <w:left w:val="single" w:sz="8" w:color="267365"/>
              <w:bottom w:val="single" w:sz="8" w:color="267365"/>
              <w:right w:val="single" w:sz="8" w:color="267365"/>
            </w:tcBorders>
            <w:vAlign w:val="center"/>
          </w:tcPr>
          <w:p>
            <w:r>
              <w:rPr>
                <w:b/>
                <w:color w:val="267365"/>
              </w:rPr>
              <w:t xml:space="preserve">ARBEITSREGEL  </w:t>
            </w:r>
            <w:r>
              <w:t>Ich beschreibe zuerst meinen eigenen Versuch. Ich fordere einen Hinweis an, prüfe Vorschläge und erkläre meinen Lösungsweg.</w:t>
            </w:r>
          </w:p>
        </w:tc>
      </w:tr>
    </w:tbl>
    <w:p/>
    <w:p>
      <w:pPr>
        <w:pStyle w:val="Heading2"/>
      </w:pPr>
      <w:r>
        <w:t>Zeit und Lernweg</w:t>
      </w:r>
    </w:p>
    <w:tbl>
      <w:tblPr>
        <w:tblStyle w:val="TableGrid"/>
        <w:tblW w:type="auto" w:w="0"/>
        <w:jc w:val="center"/>
        <w:tblLook w:firstColumn="1" w:firstRow="1" w:lastColumn="0" w:lastRow="0" w:noHBand="0" w:noVBand="1" w:val="04A0"/>
      </w:tblPr>
      <w:tblGrid>
        <w:gridCol w:w="2287"/>
        <w:gridCol w:w="2287"/>
        <w:gridCol w:w="2287"/>
      </w:tblGrid>
      <w:tr>
        <w:trPr>
          <w:tblHeader w:val="true"/>
        </w:trPr>
        <w:tc>
          <w:tcPr>
            <w:tcW w:type="dxa" w:w="2287"/>
            <w:shd w:fill="263238"/>
            <w:tcBorders>
              <w:top w:val="single" w:sz="8" w:color="263238"/>
              <w:left w:val="single" w:sz="8" w:color="263238"/>
              <w:bottom w:val="single" w:sz="8" w:color="263238"/>
              <w:right w:val="single" w:sz="8" w:color="263238"/>
            </w:tcBorders>
          </w:tcPr>
          <w:p>
            <w:r>
              <w:rPr>
                <w:b/>
                <w:color w:val="FFFFFF"/>
              </w:rPr>
              <w:t>Pfad</w:t>
            </w:r>
          </w:p>
        </w:tc>
        <w:tc>
          <w:tcPr>
            <w:tcW w:type="dxa" w:w="2287"/>
            <w:shd w:fill="263238"/>
            <w:tcBorders>
              <w:top w:val="single" w:sz="8" w:color="263238"/>
              <w:left w:val="single" w:sz="8" w:color="263238"/>
              <w:bottom w:val="single" w:sz="8" w:color="263238"/>
              <w:right w:val="single" w:sz="8" w:color="263238"/>
            </w:tcBorders>
          </w:tcPr>
          <w:p>
            <w:r>
              <w:rPr>
                <w:b/>
                <w:color w:val="FFFFFF"/>
              </w:rPr>
              <w:t>Umfang</w:t>
            </w:r>
          </w:p>
        </w:tc>
        <w:tc>
          <w:tcPr>
            <w:tcW w:type="dxa" w:w="2287"/>
            <w:shd w:fill="263238"/>
            <w:tcBorders>
              <w:top w:val="single" w:sz="8" w:color="263238"/>
              <w:left w:val="single" w:sz="8" w:color="263238"/>
              <w:bottom w:val="single" w:sz="8" w:color="263238"/>
              <w:right w:val="single" w:sz="8" w:color="263238"/>
            </w:tcBorders>
          </w:tcPr>
          <w:p>
            <w:r>
              <w:rPr>
                <w:b/>
                <w:color w:val="FFFFFF"/>
              </w:rPr>
              <w:t>Einsatz</w:t>
            </w:r>
          </w:p>
        </w:tc>
      </w:tr>
      <w:tr>
        <w:tc>
          <w:tcPr>
            <w:tcW w:type="dxa" w:w="2287"/>
          </w:tcPr>
          <w:p>
            <w:r>
              <w:t>Kernpfad</w:t>
            </w:r>
          </w:p>
        </w:tc>
        <w:tc>
          <w:tcPr>
            <w:tcW w:type="dxa" w:w="2287"/>
          </w:tcPr>
          <w:p>
            <w:r>
              <w:t>20 Unterrichtsstunden in zehn Doppelstunden</w:t>
            </w:r>
          </w:p>
        </w:tc>
        <w:tc>
          <w:tcPr>
            <w:tcW w:type="dxa" w:w="2287"/>
          </w:tcPr>
          <w:p>
            <w:r>
              <w:t>verbindliche Aufgaben und Prüfnachweise</w:t>
            </w:r>
          </w:p>
        </w:tc>
      </w:tr>
      <w:tr>
        <w:tc>
          <w:tcPr>
            <w:tcW w:type="dxa" w:w="2287"/>
          </w:tcPr>
          <w:p>
            <w:r>
              <w:t>Vertiefung</w:t>
            </w:r>
          </w:p>
        </w:tc>
        <w:tc>
          <w:tcPr>
            <w:tcW w:type="dxa" w:w="2287"/>
          </w:tcPr>
          <w:p>
            <w:r>
              <w:t>zusätzliche 1 bis 2 Stunden je Modul</w:t>
            </w:r>
          </w:p>
        </w:tc>
        <w:tc>
          <w:tcPr>
            <w:tcW w:type="dxa" w:w="2287"/>
          </w:tcPr>
          <w:p>
            <w:r>
              <w:t>schnelle Lernende oder Projektphase</w:t>
            </w:r>
          </w:p>
        </w:tc>
      </w:tr>
      <w:tr>
        <w:tc>
          <w:tcPr>
            <w:tcW w:type="dxa" w:w="2287"/>
          </w:tcPr>
          <w:p>
            <w:r>
              <w:t>BG Anpassung</w:t>
            </w:r>
          </w:p>
        </w:tc>
        <w:tc>
          <w:tcPr>
            <w:tcW w:type="dxa" w:w="2287"/>
          </w:tcPr>
          <w:p>
            <w:r>
              <w:t>ausgewählte Kernmodule</w:t>
            </w:r>
          </w:p>
        </w:tc>
        <w:tc>
          <w:tcPr>
            <w:tcW w:type="dxa" w:w="2287"/>
          </w:tcPr>
          <w:p>
            <w:r>
              <w:t>zweistündiger Unterricht mit reduziertem Projektumfang</w:t>
            </w:r>
          </w:p>
        </w:tc>
      </w:tr>
    </w:tbl>
    <w:p>
      <w:pPr>
        <w:pStyle w:val="Heading2"/>
      </w:pPr>
      <w:r>
        <w:t>Modulübersicht</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pPr>
              <w:spacing w:after="0"/>
            </w:pPr>
            <w:r>
              <w:rPr>
                <w:b/>
                <w:color w:val="FFFFFF"/>
                <w:sz w:val="16"/>
              </w:rPr>
              <w:t>ID</w:t>
            </w:r>
          </w:p>
        </w:tc>
        <w:tc>
          <w:tcPr>
            <w:tcW w:type="dxa" w:w="3430"/>
            <w:shd w:fill="263238"/>
            <w:tcBorders>
              <w:top w:val="single" w:sz="8" w:color="263238"/>
              <w:left w:val="single" w:sz="8" w:color="263238"/>
              <w:bottom w:val="single" w:sz="8" w:color="263238"/>
              <w:right w:val="single" w:sz="8" w:color="263238"/>
            </w:tcBorders>
          </w:tcPr>
          <w:p>
            <w:pPr>
              <w:spacing w:after="0"/>
            </w:pPr>
            <w:r>
              <w:rPr>
                <w:b/>
                <w:color w:val="FFFFFF"/>
                <w:sz w:val="16"/>
              </w:rPr>
              <w:t>Modul</w:t>
            </w:r>
          </w:p>
        </w:tc>
      </w:tr>
      <w:tr>
        <w:tc>
          <w:tcPr>
            <w:tcW w:type="dxa" w:w="3430"/>
          </w:tcPr>
          <w:p>
            <w:pPr>
              <w:spacing w:after="0"/>
            </w:pPr>
            <w:r>
              <w:rPr>
                <w:sz w:val="16"/>
              </w:rPr>
              <w:t>K01</w:t>
            </w:r>
          </w:p>
        </w:tc>
        <w:tc>
          <w:tcPr>
            <w:tcW w:type="dxa" w:w="3430"/>
          </w:tcPr>
          <w:p>
            <w:pPr>
              <w:spacing w:after="0"/>
            </w:pPr>
            <w:r>
              <w:rPr>
                <w:sz w:val="16"/>
              </w:rPr>
              <w:t>Versionsverwaltung verstehen</w:t>
            </w:r>
          </w:p>
        </w:tc>
      </w:tr>
      <w:tr>
        <w:tc>
          <w:tcPr>
            <w:tcW w:type="dxa" w:w="3430"/>
          </w:tcPr>
          <w:p>
            <w:pPr>
              <w:spacing w:after="0"/>
            </w:pPr>
            <w:r>
              <w:rPr>
                <w:sz w:val="16"/>
              </w:rPr>
              <w:t>K02</w:t>
            </w:r>
          </w:p>
        </w:tc>
        <w:tc>
          <w:tcPr>
            <w:tcW w:type="dxa" w:w="3430"/>
          </w:tcPr>
          <w:p>
            <w:pPr>
              <w:spacing w:after="0"/>
            </w:pPr>
            <w:r>
              <w:rPr>
                <w:sz w:val="16"/>
              </w:rPr>
              <w:t>Sicher und datensparsam arbeiten</w:t>
            </w:r>
          </w:p>
        </w:tc>
      </w:tr>
      <w:tr>
        <w:tc>
          <w:tcPr>
            <w:tcW w:type="dxa" w:w="3430"/>
          </w:tcPr>
          <w:p>
            <w:pPr>
              <w:spacing w:after="0"/>
            </w:pPr>
            <w:r>
              <w:rPr>
                <w:sz w:val="16"/>
              </w:rPr>
              <w:t>K03</w:t>
            </w:r>
          </w:p>
        </w:tc>
        <w:tc>
          <w:tcPr>
            <w:tcW w:type="dxa" w:w="3430"/>
          </w:tcPr>
          <w:p>
            <w:pPr>
              <w:spacing w:after="0"/>
            </w:pPr>
            <w:r>
              <w:rPr>
                <w:sz w:val="16"/>
              </w:rPr>
              <w:t>Ein lokales Repository starten</w:t>
            </w:r>
          </w:p>
        </w:tc>
      </w:tr>
      <w:tr>
        <w:tc>
          <w:tcPr>
            <w:tcW w:type="dxa" w:w="3430"/>
          </w:tcPr>
          <w:p>
            <w:pPr>
              <w:spacing w:after="0"/>
            </w:pPr>
            <w:r>
              <w:rPr>
                <w:sz w:val="16"/>
              </w:rPr>
              <w:t>K04</w:t>
            </w:r>
          </w:p>
        </w:tc>
        <w:tc>
          <w:tcPr>
            <w:tcW w:type="dxa" w:w="3430"/>
          </w:tcPr>
          <w:p>
            <w:pPr>
              <w:spacing w:after="0"/>
            </w:pPr>
            <w:r>
              <w:rPr>
                <w:sz w:val="16"/>
              </w:rPr>
              <w:t>Änderungen mit Commits dokumentieren</w:t>
            </w:r>
          </w:p>
        </w:tc>
      </w:tr>
      <w:tr>
        <w:tc>
          <w:tcPr>
            <w:tcW w:type="dxa" w:w="3430"/>
          </w:tcPr>
          <w:p>
            <w:pPr>
              <w:spacing w:after="0"/>
            </w:pPr>
            <w:r>
              <w:rPr>
                <w:sz w:val="16"/>
              </w:rPr>
              <w:t>K05</w:t>
            </w:r>
          </w:p>
        </w:tc>
        <w:tc>
          <w:tcPr>
            <w:tcW w:type="dxa" w:w="3430"/>
          </w:tcPr>
          <w:p>
            <w:pPr>
              <w:spacing w:after="0"/>
            </w:pPr>
            <w:r>
              <w:rPr>
                <w:sz w:val="16"/>
              </w:rPr>
              <w:t>README und Markdown nutzen</w:t>
            </w:r>
          </w:p>
        </w:tc>
      </w:tr>
      <w:tr>
        <w:tc>
          <w:tcPr>
            <w:tcW w:type="dxa" w:w="3430"/>
          </w:tcPr>
          <w:p>
            <w:pPr>
              <w:spacing w:after="0"/>
            </w:pPr>
            <w:r>
              <w:rPr>
                <w:sz w:val="16"/>
              </w:rPr>
              <w:t>K06</w:t>
            </w:r>
          </w:p>
        </w:tc>
        <w:tc>
          <w:tcPr>
            <w:tcW w:type="dxa" w:w="3430"/>
          </w:tcPr>
          <w:p>
            <w:pPr>
              <w:spacing w:after="0"/>
            </w:pPr>
            <w:r>
              <w:rPr>
                <w:sz w:val="16"/>
              </w:rPr>
              <w:t>Issues mit Akzeptanzkriterien planen</w:t>
            </w:r>
          </w:p>
        </w:tc>
      </w:tr>
      <w:tr>
        <w:tc>
          <w:tcPr>
            <w:tcW w:type="dxa" w:w="3430"/>
          </w:tcPr>
          <w:p>
            <w:pPr>
              <w:spacing w:after="0"/>
            </w:pPr>
            <w:r>
              <w:rPr>
                <w:sz w:val="16"/>
              </w:rPr>
              <w:t>K07</w:t>
            </w:r>
          </w:p>
        </w:tc>
        <w:tc>
          <w:tcPr>
            <w:tcW w:type="dxa" w:w="3430"/>
          </w:tcPr>
          <w:p>
            <w:pPr>
              <w:spacing w:after="0"/>
            </w:pPr>
            <w:r>
              <w:rPr>
                <w:sz w:val="16"/>
              </w:rPr>
              <w:t>Branches sicher einsetzen</w:t>
            </w:r>
          </w:p>
        </w:tc>
      </w:tr>
      <w:tr>
        <w:tc>
          <w:tcPr>
            <w:tcW w:type="dxa" w:w="3430"/>
          </w:tcPr>
          <w:p>
            <w:pPr>
              <w:spacing w:after="0"/>
            </w:pPr>
            <w:r>
              <w:rPr>
                <w:sz w:val="16"/>
              </w:rPr>
              <w:t>K08</w:t>
            </w:r>
          </w:p>
        </w:tc>
        <w:tc>
          <w:tcPr>
            <w:tcW w:type="dxa" w:w="3430"/>
          </w:tcPr>
          <w:p>
            <w:pPr>
              <w:spacing w:after="0"/>
            </w:pPr>
            <w:r>
              <w:rPr>
                <w:sz w:val="16"/>
              </w:rPr>
              <w:t>Pull Requests und Reviews prüfen</w:t>
            </w:r>
          </w:p>
        </w:tc>
      </w:tr>
      <w:tr>
        <w:tc>
          <w:tcPr>
            <w:tcW w:type="dxa" w:w="3430"/>
          </w:tcPr>
          <w:p>
            <w:pPr>
              <w:spacing w:after="0"/>
            </w:pPr>
            <w:r>
              <w:rPr>
                <w:sz w:val="16"/>
              </w:rPr>
              <w:t>K09</w:t>
            </w:r>
          </w:p>
        </w:tc>
        <w:tc>
          <w:tcPr>
            <w:tcW w:type="dxa" w:w="3430"/>
          </w:tcPr>
          <w:p>
            <w:pPr>
              <w:spacing w:after="0"/>
            </w:pPr>
            <w:r>
              <w:rPr>
                <w:sz w:val="16"/>
              </w:rPr>
              <w:t>Merge Konflikte verstehen</w:t>
            </w:r>
          </w:p>
        </w:tc>
      </w:tr>
      <w:tr>
        <w:tc>
          <w:tcPr>
            <w:tcW w:type="dxa" w:w="3430"/>
          </w:tcPr>
          <w:p>
            <w:pPr>
              <w:spacing w:after="0"/>
            </w:pPr>
            <w:r>
              <w:rPr>
                <w:sz w:val="16"/>
              </w:rPr>
              <w:t>K10</w:t>
            </w:r>
          </w:p>
        </w:tc>
        <w:tc>
          <w:tcPr>
            <w:tcW w:type="dxa" w:w="3430"/>
          </w:tcPr>
          <w:p>
            <w:pPr>
              <w:spacing w:after="0"/>
            </w:pPr>
            <w:r>
              <w:rPr>
                <w:sz w:val="16"/>
              </w:rPr>
              <w:t>Release und Projektübergabe</w:t>
            </w:r>
          </w:p>
        </w:tc>
      </w:tr>
    </w:tbl>
    <w:p>
      <w:r>
        <w:br w:type="page"/>
      </w:r>
    </w:p>
    <w:p>
      <w:pPr>
        <w:pStyle w:val="Heading1"/>
      </w:pPr>
      <w:r>
        <w:t>Planungsbezug und Kompetenzen</w:t>
      </w:r>
    </w:p>
    <w:p>
      <w:r>
        <w:t>Abgleich mit dem BKWI1 Wochenplan 2025 2026 und dem ausgewiesenen Bereich BPE 4 Webentwicklung. Der Kurs führt vom lokalen Offline Einstieg zur optionalen Online Zusammenarbeit. Der Kernpfad kann ohne GitHub Konto bearbeitet werden.</w:t>
      </w:r>
    </w:p>
    <w:tbl>
      <w:tblPr>
        <w:tblStyle w:val="TableGrid"/>
        <w:tblW w:type="auto" w:w="0"/>
        <w:jc w:val="center"/>
        <w:tblLook w:firstColumn="1" w:firstRow="1" w:lastColumn="0" w:lastRow="0" w:noHBand="0" w:noVBand="1" w:val="04A0"/>
      </w:tblPr>
      <w:tblGrid>
        <w:gridCol w:w="2287"/>
        <w:gridCol w:w="2287"/>
        <w:gridCol w:w="2287"/>
      </w:tblGrid>
      <w:tr>
        <w:trPr>
          <w:tblHeader w:val="true"/>
        </w:trPr>
        <w:tc>
          <w:tcPr>
            <w:tcW w:type="dxa" w:w="2287"/>
            <w:shd w:fill="263238"/>
            <w:tcBorders>
              <w:top w:val="single" w:sz="8" w:color="263238"/>
              <w:left w:val="single" w:sz="8" w:color="263238"/>
              <w:bottom w:val="single" w:sz="8" w:color="263238"/>
              <w:right w:val="single" w:sz="8" w:color="263238"/>
            </w:tcBorders>
          </w:tcPr>
          <w:p>
            <w:r>
              <w:rPr>
                <w:b/>
                <w:color w:val="FFFFFF"/>
              </w:rPr>
              <w:t>Kompetenz</w:t>
            </w:r>
          </w:p>
        </w:tc>
        <w:tc>
          <w:tcPr>
            <w:tcW w:type="dxa" w:w="2287"/>
            <w:shd w:fill="263238"/>
            <w:tcBorders>
              <w:top w:val="single" w:sz="8" w:color="263238"/>
              <w:left w:val="single" w:sz="8" w:color="263238"/>
              <w:bottom w:val="single" w:sz="8" w:color="263238"/>
              <w:right w:val="single" w:sz="8" w:color="263238"/>
            </w:tcBorders>
          </w:tcPr>
          <w:p>
            <w:r>
              <w:rPr>
                <w:b/>
                <w:color w:val="FFFFFF"/>
              </w:rPr>
              <w:t>Lernschritt</w:t>
            </w:r>
          </w:p>
        </w:tc>
        <w:tc>
          <w:tcPr>
            <w:tcW w:type="dxa" w:w="2287"/>
            <w:shd w:fill="263238"/>
            <w:tcBorders>
              <w:top w:val="single" w:sz="8" w:color="263238"/>
              <w:left w:val="single" w:sz="8" w:color="263238"/>
              <w:bottom w:val="single" w:sz="8" w:color="263238"/>
              <w:right w:val="single" w:sz="8" w:color="263238"/>
            </w:tcBorders>
          </w:tcPr>
          <w:p>
            <w:r>
              <w:rPr>
                <w:b/>
                <w:color w:val="FFFFFF"/>
              </w:rPr>
              <w:t>Prüfbares Produkt</w:t>
            </w:r>
          </w:p>
        </w:tc>
      </w:tr>
      <w:tr>
        <w:tc>
          <w:tcPr>
            <w:tcW w:type="dxa" w:w="2287"/>
          </w:tcPr>
          <w:p>
            <w:r>
              <w:t>Werkzeuge und Begriffe fachlich erklären</w:t>
            </w:r>
          </w:p>
        </w:tc>
        <w:tc>
          <w:tcPr>
            <w:tcW w:type="dxa" w:w="2287"/>
          </w:tcPr>
          <w:p>
            <w:r>
              <w:t>Denkmodell und Minimalbeispiel</w:t>
            </w:r>
          </w:p>
        </w:tc>
        <w:tc>
          <w:tcPr>
            <w:tcW w:type="dxa" w:w="2287"/>
          </w:tcPr>
          <w:p>
            <w:r>
              <w:t>Begriffsnetz oder Kurzbegründung</w:t>
            </w:r>
          </w:p>
        </w:tc>
      </w:tr>
      <w:tr>
        <w:tc>
          <w:tcPr>
            <w:tcW w:type="dxa" w:w="2287"/>
          </w:tcPr>
          <w:p>
            <w:r>
              <w:t>einen Arbeitsprozess anwenden</w:t>
            </w:r>
          </w:p>
        </w:tc>
        <w:tc>
          <w:tcPr>
            <w:tcW w:type="dxa" w:w="2287"/>
          </w:tcPr>
          <w:p>
            <w:r>
              <w:t>angeleitete Kernaufgabe</w:t>
            </w:r>
          </w:p>
        </w:tc>
        <w:tc>
          <w:tcPr>
            <w:tcW w:type="dxa" w:w="2287"/>
          </w:tcPr>
          <w:p>
            <w:r>
              <w:t>Datei, Protokoll oder getesteter Projektstand</w:t>
            </w:r>
          </w:p>
        </w:tc>
      </w:tr>
      <w:tr>
        <w:tc>
          <w:tcPr>
            <w:tcW w:type="dxa" w:w="2287"/>
          </w:tcPr>
          <w:p>
            <w:r>
              <w:t>Ergebnisse prüfen und beurteilen</w:t>
            </w:r>
          </w:p>
        </w:tc>
        <w:tc>
          <w:tcPr>
            <w:tcW w:type="dxa" w:w="2287"/>
          </w:tcPr>
          <w:p>
            <w:r>
              <w:t>Testkriterien und Fehleranalyse</w:t>
            </w:r>
          </w:p>
        </w:tc>
        <w:tc>
          <w:tcPr>
            <w:tcW w:type="dxa" w:w="2287"/>
          </w:tcPr>
          <w:p>
            <w:r>
              <w:t>Prüfprotokoll mit begründetem Urteil</w:t>
            </w:r>
          </w:p>
        </w:tc>
      </w:tr>
      <w:tr>
        <w:tc>
          <w:tcPr>
            <w:tcW w:type="dxa" w:w="2287"/>
          </w:tcPr>
          <w:p>
            <w:r>
              <w:t>verantwortlich handeln</w:t>
            </w:r>
          </w:p>
        </w:tc>
        <w:tc>
          <w:tcPr>
            <w:tcW w:type="dxa" w:w="2287"/>
          </w:tcPr>
          <w:p>
            <w:r>
              <w:t>Datenschutz, Sicherheit und Transparenz</w:t>
            </w:r>
          </w:p>
        </w:tc>
        <w:tc>
          <w:tcPr>
            <w:tcW w:type="dxa" w:w="2287"/>
          </w:tcPr>
          <w:p>
            <w:r>
              <w:t>Risikoanalyse oder Nutzungsnachweis</w:t>
            </w:r>
          </w:p>
        </w:tc>
      </w:tr>
    </w:tbl>
    <w:p>
      <w:pPr>
        <w:pStyle w:val="Heading2"/>
      </w:pPr>
      <w:r>
        <w:t>Grafischer Ausgangspunkt</w:t>
      </w:r>
    </w:p>
    <w:p>
      <w:pPr>
        <w:jc w:val="center"/>
      </w:pPr>
      <w:r>
        <w:drawing>
          <wp:inline xmlns:a="http://schemas.openxmlformats.org/drawingml/2006/main" xmlns:pic="http://schemas.openxmlformats.org/drawingml/2006/picture">
            <wp:extent cx="4176000" cy="2366400"/>
            <wp:docPr id="2" name="Picture 2" descr="Grafisches Mockup der Lernoberfläche mit Navigation, Arbeitsauftrag und überprüfbarem Lernschritt" title="Grafisches Mockup der Lernoberfläche mit Navigation, Arbeitsauftrag und überprüf"/>
            <wp:cNvGraphicFramePr>
              <a:graphicFrameLocks noChangeAspect="1"/>
            </wp:cNvGraphicFramePr>
            <a:graphic>
              <a:graphicData uri="http://schemas.openxmlformats.org/drawingml/2006/picture">
                <pic:pic>
                  <pic:nvPicPr>
                    <pic:cNvPr id="0" name="github_mockup.png"/>
                    <pic:cNvPicPr/>
                  </pic:nvPicPr>
                  <pic:blipFill>
                    <a:blip r:embed="rId12"/>
                    <a:stretch>
                      <a:fillRect/>
                    </a:stretch>
                  </pic:blipFill>
                  <pic:spPr>
                    <a:xfrm>
                      <a:off x="0" y="0"/>
                      <a:ext cx="4176000" cy="2366400"/>
                    </a:xfrm>
                    <a:prstGeom prst="rect"/>
                  </pic:spPr>
                </pic:pic>
              </a:graphicData>
            </a:graphic>
          </wp:inline>
        </w:drawing>
      </w:r>
    </w:p>
    <w:p>
      <w:pPr>
        <w:jc w:val="center"/>
      </w:pPr>
      <w:r>
        <w:t>Abbildung 1 Grafisches Mockup als Impuls für Arbeitsabläufe und Qualitätskriterien</w:t>
      </w:r>
    </w:p>
    <w:p>
      <w:r>
        <w:br w:type="page"/>
      </w:r>
    </w:p>
    <w:p>
      <w:pPr>
        <w:pStyle w:val="Heading1"/>
      </w:pPr>
      <w:bookmarkStart w:id="15" w:name="toc_sec_001"/>
      <w:bookmarkStart w:id="2" w:name="gh_sec_01"/>
      <w:r>
        <w:t>1 Versionsverwaltung verstehen</w:t>
      </w:r>
      <w:bookmarkEnd w:id="2"/>
      <w:bookmarkEnd w:id="15"/>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Git, GitHub, Repository, Arbeitskopie und Commit unterscheiden. Jetzt tun: Ordne eine chaotische Folge von Projektkopien und formuliere ein Versionsproblem.</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Git verwaltet lokale Entwicklungsstände. GitHub ergänzt eine Online Plattform für Austausch und Prüfung.</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Git verwaltet lokale Entwicklungsstände. GitHub ergänzt eine Online Plattform für Austausch und Prüfung.</w:t>
            </w:r>
          </w:p>
        </w:tc>
      </w:tr>
    </w:tbl>
    <w:p/>
    <w:p>
      <w:pPr>
        <w:pStyle w:val="Heading2"/>
      </w:pPr>
      <w:r>
        <w:t>Kernaufgabe GH-K01-A01</w:t>
      </w:r>
    </w:p>
    <w:p>
      <w:r>
        <w:t>Ordne eine chaotische Folge von Projektkopien und formuliere ein Versionsproblem.</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Erstelle ein Begriffsnetz und zwei präzise Commit Nachrichten.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Versionsverwaltung verstehen.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GH-K01-V01.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6" w:name="toc_sec_002"/>
      <w:bookmarkStart w:id="3" w:name="gh_sec_02"/>
      <w:r>
        <w:t>2 Sicher und datensparsam arbeiten</w:t>
      </w:r>
      <w:bookmarkEnd w:id="3"/>
      <w:bookmarkEnd w:id="16"/>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öffentliche, interne und geheime Daten unterscheiden. Jetzt tun: Prüfe ein fiktives Repository auf Namen, Kennwörter, Tokens und fremde Bilder.</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Geheimnisse gehören nie in Dateien oder Commits. Ein späteres Löschen entfernt sie nicht sicher aus der Historie.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Geheimnisse gehören nie in Dateien oder Commits. Ein späteres Löschen entfernt sie nicht sicher aus der Historie.</w:t>
            </w:r>
          </w:p>
        </w:tc>
      </w:tr>
    </w:tbl>
    <w:p/>
    <w:p>
      <w:pPr>
        <w:pStyle w:val="Heading2"/>
      </w:pPr>
      <w:r>
        <w:t>Kernaufgabe GH-K02-A01</w:t>
      </w:r>
    </w:p>
    <w:p>
      <w:r>
        <w:t>Prüfe ein fiktives Repository auf Namen, Kennwörter, Tokens und fremde Bilder.</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Dokumentiere Risiken und passende Schutzmaßnahmen.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Sicher und datensparsam arbeiten.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GH-K02-V01.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7" w:name="toc_sec_003"/>
      <w:bookmarkStart w:id="4" w:name="gh_sec_03"/>
      <w:r>
        <w:t>3 Ein lokales Repository starten</w:t>
      </w:r>
      <w:bookmarkEnd w:id="4"/>
      <w:bookmarkEnd w:id="17"/>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Repository, Arbeitsverzeichnis und Statusanzeige anwenden. Jetzt tun: Entpacke das Offline Starterprojekt und initialisiere es lokal.</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Vor jedem Commit wird geprüft, welche Dateien tatsächlich aufgenommen werden.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Vor jedem Commit wird geprüft, welche Dateien tatsächlich aufgenommen werden.</w:t>
            </w:r>
          </w:p>
        </w:tc>
      </w:tr>
    </w:tbl>
    <w:p/>
    <w:p>
      <w:pPr>
        <w:pStyle w:val="Heading2"/>
      </w:pPr>
      <w:r>
        <w:t>Kernaufgabe GH-K03-A01</w:t>
      </w:r>
    </w:p>
    <w:p>
      <w:r>
        <w:t>Entpacke das Offline Starterprojekt und initialisiere es lokal.</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Führe Statusprüfung, erste Auswahl und einen Start Commit durch.</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Ein lokales Repository starten.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GH-K03-V01.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8" w:name="toc_sec_004"/>
      <w:bookmarkStart w:id="5" w:name="gh_sec_04"/>
      <w:r>
        <w:t>4 Änderungen mit Commits dokumentieren</w:t>
      </w:r>
      <w:bookmarkEnd w:id="5"/>
      <w:bookmarkEnd w:id="18"/>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kleine Änderungen auswählen, prüfen und begründet sichern. Jetzt tun: Ändere Titel und Navigation der Starterseite.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Commit hält einen sinnvollen, getesteten Arbeitsschritt fest und erklärt dessen Zweck.</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Commit hält einen sinnvollen, getesteten Arbeitsschritt fest und erklärt dessen Zweck.</w:t>
            </w:r>
          </w:p>
        </w:tc>
      </w:tr>
    </w:tbl>
    <w:p/>
    <w:p>
      <w:pPr>
        <w:pStyle w:val="Heading2"/>
      </w:pPr>
      <w:r>
        <w:t>Kernaufgabe GH-K04-A01</w:t>
      </w:r>
    </w:p>
    <w:p>
      <w:r>
        <w:t>Ändere Titel und Navigation der Starterseite.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Erzeuge zwei getrennte Commits mit nachvollziehbaren Nachrichten.</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Änderungen mit Commits dokumentieren.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GH-K04-V01.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19" w:name="toc_sec_005"/>
      <w:bookmarkStart w:id="6" w:name="gh_sec_05"/>
      <w:r>
        <w:t>5 README und Markdown nutzen</w:t>
      </w:r>
      <w:bookmarkEnd w:id="6"/>
      <w:bookmarkEnd w:id="19"/>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ein Projekt für andere verständlich beschreiben. Jetzt tun: Untersuche eine unvollständige README.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Eine README beantwortet zuerst Zweck, Start und Prüfung des Projekts.</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Eine README beantwortet zuerst Zweck, Start und Prüfung des Projekts.</w:t>
            </w:r>
          </w:p>
        </w:tc>
      </w:tr>
    </w:tbl>
    <w:p/>
    <w:p>
      <w:pPr>
        <w:pStyle w:val="Heading2"/>
      </w:pPr>
      <w:r>
        <w:t>Kernaufgabe GH-K05-A01</w:t>
      </w:r>
    </w:p>
    <w:p>
      <w:r>
        <w:t>Untersuche eine unvollständige README.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Ergänze Ziel, Start, Struktur, Bedienung, Tests und Datenschutz.</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README und Markdown nutzen.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GH-K05-V01.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0" w:name="toc_sec_006"/>
      <w:bookmarkStart w:id="7" w:name="gh_sec_06"/>
      <w:r>
        <w:t>6 Issues mit Akzeptanzkriterien planen</w:t>
      </w:r>
      <w:bookmarkEnd w:id="7"/>
      <w:bookmarkEnd w:id="20"/>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Anforderungen in prüfbare Arbeitspakete zerlegen. Jetzt tun: Formuliere aus einem UI Wunsch ein Issue.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Issue beschreibt das Problem und objektiv prüfbare Bedingungen, nicht schon die fertige Lösung.</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Issue beschreibt das Problem und objektiv prüfbare Bedingungen, nicht schon die fertige Lösung.</w:t>
            </w:r>
          </w:p>
        </w:tc>
      </w:tr>
    </w:tbl>
    <w:p/>
    <w:p>
      <w:pPr>
        <w:pStyle w:val="Heading2"/>
      </w:pPr>
      <w:r>
        <w:t>Kernaufgabe GH-K06-A01</w:t>
      </w:r>
    </w:p>
    <w:p>
      <w:r>
        <w:t>Formuliere aus einem UI Wunsch ein Issue.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Erstelle User Story, Akzeptanzkriterien und Testhinweise.</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Issues mit Akzeptanzkriterien planen.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GH-K06-V01.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1" w:name="toc_sec_007"/>
      <w:bookmarkStart w:id="8" w:name="gh_sec_07"/>
      <w:r>
        <w:t>7 Branches sicher einsetzen</w:t>
      </w:r>
      <w:bookmarkEnd w:id="8"/>
      <w:bookmarkEnd w:id="21"/>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eine Änderung vom stabilen Hauptstand trennen. Jetzt tun: Plane einen Branch für eine neue Fortschrittsanzeige.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Branch isoliert zusammengehörige Änderungen und schützt den stabilen Hauptstand.</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Branch isoliert zusammengehörige Änderungen und schützt den stabilen Hauptstand.</w:t>
            </w:r>
          </w:p>
        </w:tc>
      </w:tr>
    </w:tbl>
    <w:p/>
    <w:p>
      <w:pPr>
        <w:pStyle w:val="Heading2"/>
      </w:pPr>
      <w:r>
        <w:t>Kernaufgabe GH-K07-A01</w:t>
      </w:r>
    </w:p>
    <w:p>
      <w:r>
        <w:t>Plane einen Branch für eine neue Fortschrittsanzeige.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Lege Branchname, Änderungsumfang und Rückkehrstrategie fest.</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Branches sicher einsetzen.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GH-K07-V01.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2" w:name="toc_sec_008"/>
      <w:bookmarkStart w:id="9" w:name="gh_sec_08"/>
      <w:r>
        <w:t>8 Pull Requests und Reviews prüfen</w:t>
      </w:r>
      <w:bookmarkEnd w:id="9"/>
      <w:bookmarkEnd w:id="22"/>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Änderungen anhand von Kriterien begutachten. Jetzt tun: Vergleiche eine Änderung mit ihrem Issue.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Review prüft Anforderungen, Funktion, Verständlichkeit und Sicherheit.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Review prüft Anforderungen, Funktion, Verständlichkeit und Sicherheit.</w:t>
            </w:r>
          </w:p>
        </w:tc>
      </w:tr>
    </w:tbl>
    <w:p/>
    <w:p>
      <w:pPr>
        <w:pStyle w:val="Heading2"/>
      </w:pPr>
      <w:r>
        <w:t>Kernaufgabe GH-K08-A01</w:t>
      </w:r>
    </w:p>
    <w:p>
      <w:r>
        <w:t>Vergleiche eine Änderung mit ihrem Issue.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Führe Review Check durch und formuliere sachliches Feedback.</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Pull Requests und Reviews prüfen.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GH-K08-V01.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3" w:name="toc_sec_009"/>
      <w:bookmarkStart w:id="10" w:name="gh_sec_09"/>
      <w:r>
        <w:t>9 Merge Konflikte verstehen</w:t>
      </w:r>
      <w:bookmarkEnd w:id="10"/>
      <w:bookmarkEnd w:id="23"/>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Konfliktmarkierungen lesen und Entscheidungen begründen. Jetzt tun: Bearbeite eine vorbereitete Konfliktdatei offline.</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Bei einem Konflikt entscheidet der fachliche Sollzustand; Markierungen werden nicht blind gelöscht.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Bei einem Konflikt entscheidet der fachliche Sollzustand; Markierungen werden nicht blind gelöscht.</w:t>
            </w:r>
          </w:p>
        </w:tc>
      </w:tr>
    </w:tbl>
    <w:p/>
    <w:p>
      <w:pPr>
        <w:pStyle w:val="Heading2"/>
      </w:pPr>
      <w:r>
        <w:t>Kernaufgabe GH-K09-A01</w:t>
      </w:r>
    </w:p>
    <w:p>
      <w:r>
        <w:t>Bearbeite eine vorbereitete Konfliktdatei offline.</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Löse den Konflikt, teste die Seite und dokumentiere die Entscheidung.</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Merge Konflikte verstehen.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GH-K09-V01.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4" w:name="toc_sec_010"/>
      <w:bookmarkStart w:id="11" w:name="gh_sec_10"/>
      <w:r>
        <w:t>10 Release und Projektübergabe</w:t>
      </w:r>
      <w:bookmarkEnd w:id="11"/>
      <w:bookmarkEnd w:id="24"/>
      <w:hyperlink w:anchor="inhalt" w:history="1">
        <w:r>
          <w:rPr>
            <w:rFonts w:ascii="Aptos" w:hAnsi="Aptos"/>
            <w:b/>
            <w:i w:val="0"/>
            <w:color w:val="007C83"/>
            <w:sz w:val="18"/>
            <w:szCs w:val="18"/>
          </w:rPr>
          <w:t xml:space="preserve">  ↩ Inhalt</w:t>
        </w:r>
      </w:hyperlink>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FF8F7"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Lernziel"/>
              <w:keepLines/>
              <w:spacing w:before="0" w:after="40"/>
              <w:ind w:left="0" w:right="0"/>
            </w:pPr>
            <w:r>
              <w:rPr>
                <w:rFonts w:ascii="Aptos" w:hAnsi="Aptos"/>
                <w:b/>
                <w:color w:val="17324D"/>
                <w:sz w:val="16"/>
              </w:rPr>
              <w:t xml:space="preserve">DEIN KAPITELSTART  </w:t>
            </w:r>
            <w:r>
              <w:rPr>
                <w:rFonts w:ascii="Aptos" w:hAnsi="Aptos"/>
                <w:b/>
                <w:color w:val="17324D"/>
                <w:sz w:val="16"/>
              </w:rPr>
              <w:t>Ziel: einen getesteten Stand nachvollziehbar übergeben. Jetzt tun: Führe die Abnahme des Offline Webprojekts durch.</w:t>
            </w:r>
          </w:p>
        </w:tc>
      </w:tr>
    </w:tbl>
    <w:p/>
    <w:p>
      <w:pPr>
        <w:pStyle w:val="Heading2"/>
      </w:pPr>
      <w:r>
        <w:t>Warum ist das wichtig</w:t>
      </w:r>
    </w:p>
    <w:p>
      <w:r>
        <w:t>Nachvollziehbare Entwicklung verhindert Datenverlust und macht Zusammenarbeit prüfbar. Das Lernprodukt dieses Moduls wird im Abschlussportfolio verwendet.</w:t>
      </w:r>
    </w:p>
    <w:p>
      <w:pPr>
        <w:pStyle w:val="Heading2"/>
      </w:pPr>
      <w:r>
        <w:t>Denkmodell und Fachwissen</w:t>
      </w:r>
    </w:p>
    <w:p>
      <w:r>
        <w:t>Ein Release ist ein geprüfter, beschriebener Stand mit bekannten Grenzen.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FF8D9"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Release ist ein geprüfter, beschriebener Stand mit bekannten Grenzen.</w:t>
            </w:r>
          </w:p>
        </w:tc>
      </w:tr>
    </w:tbl>
    <w:p/>
    <w:p>
      <w:pPr>
        <w:pStyle w:val="Heading2"/>
      </w:pPr>
      <w:r>
        <w:t>Kernaufgabe GH-K10-A01</w:t>
      </w:r>
    </w:p>
    <w:p>
      <w:r>
        <w:t>Führe die Abnahme des Offline Webprojekts durch.</w:t>
      </w:r>
    </w:p>
    <w:p>
      <w:r>
        <w:t>1. Lies die Ausgangssituation und markiere Ziel, Bedingungen und offene Fragen.</w:t>
      </w:r>
    </w:p>
    <w:p>
      <w:r>
        <w:t>2. Notiere einen eigenen Lösungsversuch, bevor du Hilfe nutzt.</w:t>
      </w:r>
    </w:p>
    <w:p>
      <w:r>
        <w:t>3. Bearbeite das Lernprodukt und speichere es unter der angegebenen Aufgaben ID.</w:t>
      </w:r>
    </w:p>
    <w:p>
      <w:r>
        <w:t>4. Prüfe das Ergebnis mit den Kriterien und dokumentiere mindestens einen Test.</w:t>
      </w:r>
    </w:p>
    <w:p>
      <w:r>
        <w:t>5. Erkläre in drei bis fünf Sätzen, welche Entscheidung für die Qualität entscheidend war.</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ERWARTETES LERNPRODUKT  </w:t>
            </w:r>
            <w:r>
              <w:rPr>
                <w:rFonts w:ascii="Aptos" w:hAnsi="Aptos"/>
                <w:b/>
                <w:color w:val="17324D"/>
                <w:sz w:val="16"/>
              </w:rPr>
              <w:t>Erstelle Changelog, Versionsnummer und Übergabeprotokoll.</w:t>
            </w:r>
          </w:p>
        </w:tc>
      </w:tr>
    </w:tbl>
    <w:p/>
    <w:p>
      <w:pPr>
        <w:pStyle w:val="Heading3"/>
        <w:pageBreakBefore/>
      </w:pPr>
      <w:r>
        <w:t>Gestufte Tutorhilfe</w:t>
      </w:r>
    </w:p>
    <w:tbl>
      <w:tblPr>
        <w:tblStyle w:val="TableGrid"/>
        <w:tblW w:type="auto" w:w="0"/>
        <w:jc w:val="center"/>
        <w:tblLook w:firstColumn="1" w:firstRow="1" w:lastColumn="0" w:lastRow="0" w:noHBand="0" w:noVBand="1" w:val="04A0"/>
      </w:tblPr>
      <w:tblGrid>
        <w:gridCol w:w="3430"/>
        <w:gridCol w:w="3430"/>
      </w:tblGrid>
      <w:tr>
        <w:trPr>
          <w:tblHeader w:val="true"/>
        </w:trPr>
        <w:tc>
          <w:tcPr>
            <w:tcW w:type="dxa" w:w="3430"/>
            <w:shd w:fill="263238"/>
            <w:tcBorders>
              <w:top w:val="single" w:sz="8" w:color="263238"/>
              <w:left w:val="single" w:sz="8" w:color="263238"/>
              <w:bottom w:val="single" w:sz="8" w:color="263238"/>
              <w:right w:val="single" w:sz="8" w:color="263238"/>
            </w:tcBorders>
          </w:tcPr>
          <w:p>
            <w:r>
              <w:rPr>
                <w:b/>
                <w:color w:val="FFFFFF"/>
              </w:rPr>
              <w:t>Stufe</w:t>
            </w:r>
          </w:p>
        </w:tc>
        <w:tc>
          <w:tcPr>
            <w:tcW w:type="dxa" w:w="3430"/>
            <w:shd w:fill="263238"/>
            <w:tcBorders>
              <w:top w:val="single" w:sz="8" w:color="263238"/>
              <w:left w:val="single" w:sz="8" w:color="263238"/>
              <w:bottom w:val="single" w:sz="8" w:color="263238"/>
              <w:right w:val="single" w:sz="8" w:color="263238"/>
            </w:tcBorders>
          </w:tcPr>
          <w:p>
            <w:r>
              <w:rPr>
                <w:b/>
                <w:color w:val="FFFFFF"/>
              </w:rPr>
              <w:t>Hilfe</w:t>
            </w:r>
          </w:p>
        </w:tc>
      </w:tr>
      <w:tr>
        <w:tc>
          <w:tcPr>
            <w:tcW w:type="dxa" w:w="3430"/>
          </w:tcPr>
          <w:p>
            <w:r>
              <w:t>1 Denkimpuls</w:t>
            </w:r>
          </w:p>
        </w:tc>
        <w:tc>
          <w:tcPr>
            <w:tcW w:type="dxa" w:w="3430"/>
          </w:tcPr>
          <w:p>
            <w:r>
              <w:t>Welche Bedingung muss das Ergebnis sichtbar erfüllen?</w:t>
            </w:r>
          </w:p>
        </w:tc>
      </w:tr>
      <w:tr>
        <w:tc>
          <w:tcPr>
            <w:tcW w:type="dxa" w:w="3430"/>
          </w:tcPr>
          <w:p>
            <w:r>
              <w:t>2 Hinweis</w:t>
            </w:r>
          </w:p>
        </w:tc>
        <w:tc>
          <w:tcPr>
            <w:tcW w:type="dxa" w:w="3430"/>
          </w:tcPr>
          <w:p>
            <w:r>
              <w:t>Teile die Aufgabe in Vorbereitung, Durchführung und Prüfung.</w:t>
            </w:r>
          </w:p>
        </w:tc>
      </w:tr>
      <w:tr>
        <w:tc>
          <w:tcPr>
            <w:tcW w:type="dxa" w:w="3430"/>
          </w:tcPr>
          <w:p>
            <w:r>
              <w:t>3 Teilstruktur</w:t>
            </w:r>
          </w:p>
        </w:tc>
        <w:tc>
          <w:tcPr>
            <w:tcW w:type="dxa" w:w="3430"/>
          </w:tcPr>
          <w:p>
            <w:r>
              <w:t>Nutze die Vorlage im Schülerpaket und fülle zuerst Ziel, eigener Versuch und Test aus.</w:t>
            </w:r>
          </w:p>
        </w:tc>
      </w:tr>
    </w:tbl>
    <w:p>
      <w:pPr>
        <w:pStyle w:val="Heading3"/>
      </w:pPr>
      <w:r>
        <w:t>Startprompt für den KI Lernagenten</w:t>
      </w:r>
    </w:p>
    <w:p>
      <w:r>
        <w:t>„Du bist mein Denkcoach für das Thema Release und Projektübergabe. Frage zuerst nach meinem Ziel und meinem bisherigen Versuch. Gib mir nur einen Hinweis auf einmal. Prüfe am Ende mit mir die Kriterien, ohne mir ungeprüft eine Komplettlösung zu liefern.“</w:t>
      </w:r>
    </w:p>
    <w:p>
      <w:pPr>
        <w:pStyle w:val="Heading3"/>
      </w:pPr>
      <w:r>
        <w:t>Prüfkriterien</w:t>
      </w:r>
    </w:p>
    <w:p>
      <w:pPr>
        <w:pStyle w:val="ListBullet"/>
      </w:pPr>
      <w:r>
        <w:t>Aufgaben ID und Ergebnisform sind vollständig.</w:t>
      </w:r>
    </w:p>
    <w:p>
      <w:pPr>
        <w:pStyle w:val="ListBullet"/>
      </w:pPr>
      <w:r>
        <w:t>Der eigene Versuch ist erkennbar.</w:t>
      </w:r>
    </w:p>
    <w:p>
      <w:pPr>
        <w:pStyle w:val="ListBullet"/>
      </w:pPr>
      <w:r>
        <w:t>Mindestens ein objektiver Test oder Beleg ist dokumentiert.</w:t>
      </w:r>
    </w:p>
    <w:p>
      <w:pPr>
        <w:pStyle w:val="ListBullet"/>
      </w:pPr>
      <w:r>
        <w:t>Die Begründung verwendet passende Fachbegriffe.</w:t>
      </w:r>
    </w:p>
    <w:p>
      <w:pPr>
        <w:pStyle w:val="ListBullet"/>
      </w:pPr>
      <w:r>
        <w:t>Sensible Daten und fremde Inhalte wurden nicht ungeprüft verwendet.</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EAF5EC"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Vertiefung"/>
              <w:keepLines/>
              <w:spacing w:before="0" w:after="40"/>
              <w:ind w:left="0" w:right="0"/>
            </w:pPr>
            <w:r>
              <w:rPr>
                <w:rFonts w:ascii="Aptos" w:hAnsi="Aptos"/>
                <w:b/>
                <w:color w:val="17324D"/>
                <w:sz w:val="16"/>
              </w:rPr>
              <w:t xml:space="preserve">VERTIEFUNG  </w:t>
            </w:r>
            <w:r>
              <w:rPr>
                <w:rFonts w:ascii="Aptos" w:hAnsi="Aptos"/>
                <w:b/>
                <w:color w:val="17324D"/>
                <w:sz w:val="16"/>
              </w:rPr>
              <w:t>Übertrage das Vorgehen auf eine zweite Situation. Vergleiche beide Ergebnisse und begründe, welche Lösung robuster ist. Kennzeichnung: GH-K10-V01.</w:t>
            </w:r>
          </w:p>
        </w:tc>
      </w:tr>
    </w:tbl>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41"/>
      </w:tblGrid>
      <w:tr>
        <w:tc>
          <w:tcPr>
            <w:tcW w:w="60" w:type="dxa"/>
            <w:tcMar>
              <w:top w:w="0" w:type="dxa"/>
              <w:start w:w="0" w:type="dxa"/>
              <w:bottom w:w="0" w:type="dxa"/>
              <w:end w:w="0" w:type="dxa"/>
            </w:tcMar>
            <w:shd w:val="clear" w:color="auto" w:fill="78909C"/>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41"/>
            <w:shd w:fill="F3F5F6" w:val="clear" w:color="auto"/>
            <w:tcBorders>
              <w:top w:val="single" w:sz="4" w:color="D9D9D9" w:space="2"/>
              <w:left w:val="nil"/>
              <w:bottom w:val="single" w:sz="4" w:color="D9D9D9" w:space="2"/>
              <w:right w:val="single" w:sz="4" w:color="D9D9D9" w:space="2"/>
              <w:insideH w:val="nil"/>
              <w:insideV w:val="nil"/>
            </w:tcBorders>
            <w:vAlign w:val="center"/>
            <w:tcMar>
              <w:top w:w="100" w:type="dxa"/>
              <w:start w:w="150" w:type="dxa"/>
              <w:bottom w:w="100" w:type="dxa"/>
              <w:end w:w="150" w:type="dxa"/>
            </w:tcMar>
          </w:tcPr>
          <w:p>
            <w:pPr>
              <w:pStyle w:val="LSMaterial"/>
              <w:keepLines/>
              <w:spacing w:before="0" w:after="40"/>
              <w:ind w:left="0" w:right="0"/>
            </w:pPr>
            <w:r>
              <w:rPr>
                <w:rFonts w:ascii="Aptos" w:hAnsi="Aptos"/>
                <w:b/>
                <w:color w:val="17324D"/>
                <w:sz w:val="16"/>
              </w:rPr>
              <w:t xml:space="preserve">HALTE FEST  </w:t>
            </w:r>
            <w:r>
              <w:rPr>
                <w:rFonts w:ascii="Aptos" w:hAnsi="Aptos"/>
                <w:b/>
                <w:color w:val="17324D"/>
                <w:sz w:val="16"/>
              </w:rPr>
              <w:t>Formuliere den Merksatz in eigenen Worten und notiere eine Frage, die du jetzt beantworten kannst.</w:t>
            </w:r>
          </w:p>
        </w:tc>
      </w:tr>
    </w:tbl>
    <w:p/>
    <w:p>
      <w:r>
        <w:br w:type="page"/>
      </w:r>
    </w:p>
    <w:p>
      <w:pPr>
        <w:pStyle w:val="Heading1"/>
      </w:pPr>
      <w:bookmarkStart w:id="25" w:name="toc_sec_011"/>
      <w:bookmarkStart w:id="12" w:name="gh_sec_11"/>
      <w:r>
        <w:t>Abschlussportfolio und Selbstcheck</w:t>
      </w:r>
      <w:bookmarkEnd w:id="12"/>
      <w:bookmarkEnd w:id="25"/>
      <w:hyperlink w:anchor="inhalt" w:history="1">
        <w:r>
          <w:rPr>
            <w:rFonts w:ascii="Aptos" w:hAnsi="Aptos"/>
            <w:b/>
            <w:i w:val="0"/>
            <w:color w:val="007C83"/>
            <w:sz w:val="18"/>
            <w:szCs w:val="18"/>
          </w:rPr>
          <w:t xml:space="preserve">  ↩ Inhalt</w:t>
        </w:r>
      </w:hyperlink>
    </w:p>
    <w:p>
      <w:r>
        <w:t>Lege die Lernprodukte nach Aufgaben ID ab. Wähle drei Produkte aus, die deinen Fortschritt zeigen, und ergänze jeweils Ausgangslage, Änderung, Prüfung und nächste Verbesserung.</w:t>
      </w:r>
    </w:p>
    <w:tbl>
      <w:tblPr>
        <w:tblStyle w:val="TableGrid"/>
        <w:tblW w:type="auto" w:w="0"/>
        <w:jc w:val="center"/>
        <w:tblLook w:firstColumn="1" w:firstRow="1" w:lastColumn="0" w:lastRow="0" w:noHBand="0" w:noVBand="1" w:val="04A0"/>
      </w:tblPr>
      <w:tblGrid>
        <w:gridCol w:w="2287"/>
        <w:gridCol w:w="2287"/>
        <w:gridCol w:w="2287"/>
      </w:tblGrid>
      <w:tr>
        <w:trPr>
          <w:tblHeader w:val="true"/>
        </w:trPr>
        <w:tc>
          <w:tcPr>
            <w:tcW w:type="dxa" w:w="2287"/>
            <w:shd w:fill="263238"/>
            <w:tcBorders>
              <w:top w:val="single" w:sz="8" w:color="263238"/>
              <w:left w:val="single" w:sz="8" w:color="263238"/>
              <w:bottom w:val="single" w:sz="8" w:color="263238"/>
              <w:right w:val="single" w:sz="8" w:color="263238"/>
            </w:tcBorders>
          </w:tcPr>
          <w:p>
            <w:r>
              <w:rPr>
                <w:b/>
                <w:color w:val="FFFFFF"/>
              </w:rPr>
              <w:t>Kriterium</w:t>
            </w:r>
          </w:p>
        </w:tc>
        <w:tc>
          <w:tcPr>
            <w:tcW w:type="dxa" w:w="2287"/>
            <w:shd w:fill="263238"/>
            <w:tcBorders>
              <w:top w:val="single" w:sz="8" w:color="263238"/>
              <w:left w:val="single" w:sz="8" w:color="263238"/>
              <w:bottom w:val="single" w:sz="8" w:color="263238"/>
              <w:right w:val="single" w:sz="8" w:color="263238"/>
            </w:tcBorders>
          </w:tcPr>
          <w:p>
            <w:r>
              <w:rPr>
                <w:b/>
                <w:color w:val="FFFFFF"/>
              </w:rPr>
              <w:t>erfüllt</w:t>
            </w:r>
          </w:p>
        </w:tc>
        <w:tc>
          <w:tcPr>
            <w:tcW w:type="dxa" w:w="2287"/>
            <w:shd w:fill="263238"/>
            <w:tcBorders>
              <w:top w:val="single" w:sz="8" w:color="263238"/>
              <w:left w:val="single" w:sz="8" w:color="263238"/>
              <w:bottom w:val="single" w:sz="8" w:color="263238"/>
              <w:right w:val="single" w:sz="8" w:color="263238"/>
            </w:tcBorders>
          </w:tcPr>
          <w:p>
            <w:r>
              <w:rPr>
                <w:b/>
                <w:color w:val="FFFFFF"/>
              </w:rPr>
              <w:t>noch offen</w:t>
            </w:r>
          </w:p>
        </w:tc>
      </w:tr>
      <w:tr>
        <w:tc>
          <w:tcPr>
            <w:tcW w:type="dxa" w:w="2287"/>
          </w:tcPr>
          <w:p>
            <w:r>
              <w:t>Ich kann den vollständigen Arbeitsprozess erklären.</w:t>
            </w:r>
          </w:p>
        </w:tc>
        <w:tc>
          <w:tcPr>
            <w:tcW w:type="dxa" w:w="2287"/>
          </w:tcPr>
          <w:p>
            <w:r>
              <w:t>☐</w:t>
            </w:r>
          </w:p>
        </w:tc>
        <w:tc>
          <w:tcPr>
            <w:tcW w:type="dxa" w:w="2287"/>
          </w:tcPr>
          <w:p>
            <w:r>
              <w:t>☐</w:t>
            </w:r>
          </w:p>
        </w:tc>
      </w:tr>
      <w:tr>
        <w:tc>
          <w:tcPr>
            <w:tcW w:type="dxa" w:w="2287"/>
          </w:tcPr>
          <w:p>
            <w:r>
              <w:t>Ich kann ein Ergebnis mit objektiven Kriterien testen.</w:t>
            </w:r>
          </w:p>
        </w:tc>
        <w:tc>
          <w:tcPr>
            <w:tcW w:type="dxa" w:w="2287"/>
          </w:tcPr>
          <w:p>
            <w:r>
              <w:t>☐</w:t>
            </w:r>
          </w:p>
        </w:tc>
        <w:tc>
          <w:tcPr>
            <w:tcW w:type="dxa" w:w="2287"/>
          </w:tcPr>
          <w:p>
            <w:r>
              <w:t>☐</w:t>
            </w:r>
          </w:p>
        </w:tc>
      </w:tr>
      <w:tr>
        <w:tc>
          <w:tcPr>
            <w:tcW w:type="dxa" w:w="2287"/>
          </w:tcPr>
          <w:p>
            <w:r>
              <w:t>Ich kann Grenzen und Risiken benennen.</w:t>
            </w:r>
          </w:p>
        </w:tc>
        <w:tc>
          <w:tcPr>
            <w:tcW w:type="dxa" w:w="2287"/>
          </w:tcPr>
          <w:p>
            <w:r>
              <w:t>☐</w:t>
            </w:r>
          </w:p>
        </w:tc>
        <w:tc>
          <w:tcPr>
            <w:tcW w:type="dxa" w:w="2287"/>
          </w:tcPr>
          <w:p>
            <w:r>
              <w:t>☐</w:t>
            </w:r>
          </w:p>
        </w:tc>
      </w:tr>
      <w:tr>
        <w:tc>
          <w:tcPr>
            <w:tcW w:type="dxa" w:w="2287"/>
          </w:tcPr>
          <w:p>
            <w:r>
              <w:t>Ich kann meinen Eigenanteil nachvollziehbar darstellen.</w:t>
            </w:r>
          </w:p>
        </w:tc>
        <w:tc>
          <w:tcPr>
            <w:tcW w:type="dxa" w:w="2287"/>
          </w:tcPr>
          <w:p>
            <w:r>
              <w:t>☐</w:t>
            </w:r>
          </w:p>
        </w:tc>
        <w:tc>
          <w:tcPr>
            <w:tcW w:type="dxa" w:w="2287"/>
          </w:tcPr>
          <w:p>
            <w:r>
              <w:t>☐</w:t>
            </w:r>
          </w:p>
        </w:tc>
      </w:tr>
    </w:tbl>
    <w:p>
      <w:pPr>
        <w:pStyle w:val="Heading1"/>
      </w:pPr>
      <w:bookmarkStart w:id="26" w:name="toc_sec_012"/>
      <w:bookmarkStart w:id="13" w:name="gh_sec_12"/>
      <w:r>
        <w:t>Quellen und Lizenz</w:t>
      </w:r>
      <w:bookmarkEnd w:id="13"/>
      <w:bookmarkEnd w:id="26"/>
      <w:hyperlink w:anchor="inhalt" w:history="1">
        <w:r>
          <w:rPr>
            <w:rFonts w:ascii="Aptos" w:hAnsi="Aptos"/>
            <w:b/>
            <w:i w:val="0"/>
            <w:color w:val="007C83"/>
            <w:sz w:val="18"/>
            <w:szCs w:val="18"/>
          </w:rPr>
          <w:t xml:space="preserve">  ↩ Inhalt</w:t>
        </w:r>
      </w:hyperlink>
    </w:p>
    <w:p>
      <w:r>
        <w:t>Fachliche Referenzen: Pro Git Buch und Git Dokumentation unter git-scm.com; GitHub Dokumentation unter docs.github.com. Abruf und Prüfung: September 2026. Für Pflichtaufgaben ist kein Internetzugriff erforderlich.</w:t>
      </w:r>
    </w:p>
    <w:p>
      <w:r>
        <w:t>Sofern bei einzelnen Materialien nichts anderes angegeben ist: CC BY-SA 4.0. Selbst erstellte Mockups und Vorlagen dürfen im Unterricht verändert und weitergegeben werden. Autorin beziehungsweise redaktionell verantwortliche Lehrkraft: Christine Janischek.</w:t>
      </w:r>
    </w:p>
    <w:sectPr w:rsidR="00FC693F" w:rsidRPr="0006063C" w:rsidSect="00034616">
      <w:headerReference w:type="first" r:id="rId9"/>
      <w:headerReference w:type="default" r:id="rId10"/>
      <w:footerReference w:type="default" r:id="rId13"/>
      <w:footerReference w:type="first" r:id="rId14"/>
      <w:pgSz w:w="8391" w:h="11906"/>
      <w:pgMar w:top="765" w:right="765" w:bottom="765" w:left="765" w:header="312" w:footer="720"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5328285" cy="756031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png"/>
                  <pic:cNvPicPr/>
                </pic:nvPicPr>
                <pic:blipFill>
                  <a:blip r:embed="rId1"/>
                  <a:stretch>
                    <a:fillRect/>
                  </a:stretch>
                </pic:blipFill>
                <pic:spPr>
                  <a:xfrm>
                    <a:off x="0" y="0"/>
                    <a:ext cx="5328285" cy="7560310"/>
                  </a:xfrm>
                  <a:prstGeom prst="rect"/>
                </pic:spPr>
              </pic:pic>
            </a:graphicData>
          </a:graphic>
        </wp:anchor>
      </w:drawing>
    </w:r>
    <w:r>
      <w:rPr>
        <w:rFonts w:ascii="Aptos" w:hAnsi="Aptos"/>
        <w:b/>
        <w:color w:val="267365"/>
        <w:sz w:val="13"/>
      </w:rPr>
      <w:t>EDUCODE LAB  ·  GH  ·  GIT UND GITHUB IM WEBPROJEKT</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7"/>
      </w:rPr>
      <w:t>EDUCODE LAB  ·  GH  ·  GIT UND GITHUB IM WEBPROJEKT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ptos" w:hAnsi="Aptos"/>
      <w:color w:val="263238"/>
      <w:sz w:val="20"/>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67365"/>
      <w:sz w:val="30"/>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67365"/>
      <w:sz w:val="24"/>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267365"/>
      <w:sz w:val="22"/>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7365D"/>
      <w:spacing w:val="5"/>
      <w:kern w:val="28"/>
      <w:sz w:val="44"/>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17"/>
    </w:rPr>
  </w:style>
  <w:style w:type="paragraph" w:customStyle="1" w:styleId="LSHinweis">
    <w:name w:val="LS Hinweis"/>
    <w:basedOn w:val="Normal"/>
    <w:rPr>
      <w:rFonts w:ascii="Aptos" w:hAnsi="Aptos"/>
      <w:color w:val="17324D"/>
      <w:sz w:val="17"/>
    </w:rPr>
  </w:style>
  <w:style w:type="paragraph" w:customStyle="1" w:styleId="LSKernauftrag">
    <w:name w:val="LS Kernauftrag"/>
    <w:basedOn w:val="Normal"/>
    <w:rPr>
      <w:rFonts w:ascii="Aptos" w:hAnsi="Aptos"/>
      <w:color w:val="17324D"/>
      <w:sz w:val="17"/>
    </w:rPr>
  </w:style>
  <w:style w:type="paragraph" w:customStyle="1" w:styleId="LSSelbstprüfung">
    <w:name w:val="LS Selbstprüfung"/>
    <w:basedOn w:val="Normal"/>
    <w:rPr>
      <w:rFonts w:ascii="Aptos" w:hAnsi="Aptos"/>
      <w:color w:val="17324D"/>
      <w:sz w:val="17"/>
    </w:rPr>
  </w:style>
  <w:style w:type="paragraph" w:customStyle="1" w:styleId="LSLernziel">
    <w:name w:val="LS Lernziel"/>
    <w:basedOn w:val="Normal"/>
    <w:rPr>
      <w:rFonts w:ascii="Aptos" w:hAnsi="Aptos"/>
      <w:color w:val="17324D"/>
      <w:sz w:val="17"/>
    </w:rPr>
  </w:style>
  <w:style w:type="paragraph" w:customStyle="1" w:styleId="LSPrompt">
    <w:name w:val="LS Prompt"/>
    <w:basedOn w:val="Normal"/>
    <w:rPr>
      <w:rFonts w:ascii="Aptos" w:hAnsi="Aptos"/>
      <w:color w:val="17324D"/>
      <w:sz w:val="17"/>
    </w:rPr>
  </w:style>
  <w:style w:type="paragraph" w:customStyle="1" w:styleId="LSMerksatz">
    <w:name w:val="LS Merksatz"/>
    <w:basedOn w:val="Normal"/>
    <w:rPr>
      <w:rFonts w:ascii="Aptos" w:hAnsi="Aptos"/>
      <w:color w:val="17324D"/>
      <w:sz w:val="17"/>
    </w:rPr>
  </w:style>
  <w:style w:type="paragraph" w:customStyle="1" w:styleId="LSCode">
    <w:name w:val="LS Code"/>
    <w:basedOn w:val="Normal"/>
    <w:rPr>
      <w:rFonts w:ascii="Aptos" w:hAnsi="Aptos"/>
      <w:color w:val="17324D"/>
      <w:sz w:val="17"/>
    </w:rPr>
  </w:style>
  <w:style w:type="paragraph" w:customStyle="1" w:styleId="LSVertiefung">
    <w:name w:val="LS Vertiefung"/>
    <w:basedOn w:val="Normal"/>
    <w:rPr>
      <w:rFonts w:ascii="Aptos" w:hAnsi="Aptos"/>
      <w:color w:val="17324D"/>
      <w:sz w:val="17"/>
    </w:rPr>
  </w:style>
  <w:style w:type="paragraph" w:customStyle="1" w:styleId="LSMaterial">
    <w:name w:val="LS Material"/>
    <w:basedOn w:val="Normal"/>
    <w:rPr>
      <w:rFonts w:ascii="Aptos" w:hAnsi="Aptos"/>
      <w:color w:val="17324D"/>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Git und GitHub im Webprojekt</dc:title>
  <dc:subject>Unterrichtsskript im einheitlichen EDUCODE LAB Serienmaster R7</dc:subject>
  <dc:creator>Christine Janischek</dc:creator>
  <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