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6E65"/>
          <w:sz w:val="50"/>
        </w:rPr>
        <w:t>Lehrkraftband Geschäftsprozessmodellierung</w:t>
      </w:r>
    </w:p>
    <w:p>
      <w:pPr>
        <w:jc w:val="center"/>
      </w:pPr>
      <w:r>
        <w:rPr>
          <w:sz w:val="24"/>
        </w:rPr>
        <w:t>Planung · Lösungen · Erwartungshorizonte · Korrekturhinweise</w:t>
      </w:r>
    </w:p>
    <w:p>
      <w:pPr>
        <w:jc w:val="center"/>
      </w:pPr>
      <w:r>
        <w:t>FINALFASSUNG · Version 1.0 · Schuljahr 2026/2027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866"/>
      </w:tblGrid>
      <w:tr>
        <w:tc>
          <w:tcPr>
            <w:tcW w:type="dxa" w:w="9866"/>
            <w:shd w:fill="DDF3F0"/>
          </w:tcPr>
          <w:p>
            <w:r>
              <w:rPr>
                <w:b/>
                <w:color w:val="176E65"/>
              </w:rPr>
              <w:t xml:space="preserve">Einsatz: </w:t>
            </w:r>
            <w:r>
              <w:t>BKWI1, BPE 2, 18 Unterrichtsstunden in neun Doppelstunden. Der Wochenplan ordnet die Blöcke den Unterrichtswochen 33–35 zu.</w:t>
            </w:r>
          </w:p>
        </w:tc>
        <w:trPr>
          <w:tblHeader/>
        </w:trPr>
      </w:tr>
    </w:tbl>
    <w:p/>
    <w:p>
      <w:pPr>
        <w:pStyle w:val="Heading1"/>
      </w:pPr>
      <w:r>
        <w:t>Lehrplan- und Wochenplanabgleich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rPr>
          <w:tblHeader w:val="true"/>
        </w:trPr>
        <w:tc>
          <w:tcPr>
            <w:tcW w:type="dxa" w:w="1417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Woche/Block</w:t>
            </w:r>
          </w:p>
        </w:tc>
        <w:tc>
          <w:tcPr>
            <w:tcW w:type="dxa" w:w="1871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ID</w:t>
            </w:r>
          </w:p>
        </w:tc>
        <w:tc>
          <w:tcPr>
            <w:tcW w:type="dxa" w:w="5669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Pflichtschwerpunkt</w:t>
            </w:r>
          </w:p>
        </w:tc>
      </w:tr>
      <w:tr>
        <w:tc>
          <w:tcPr>
            <w:tcW w:type="dxa" w:w="1417"/>
            <w:vAlign w:val="center"/>
          </w:tcPr>
          <w:p>
            <w:r/>
            <w:r>
              <w:rPr>
                <w:b w:val="0"/>
                <w:sz w:val="17"/>
              </w:rPr>
              <w:t>33/1</w:t>
            </w:r>
          </w:p>
        </w:tc>
        <w:tc>
          <w:tcPr>
            <w:tcW w:type="dxa" w:w="1871"/>
            <w:vAlign w:val="center"/>
          </w:tcPr>
          <w:p>
            <w:r/>
            <w:r>
              <w:rPr>
                <w:b w:val="0"/>
                <w:sz w:val="17"/>
              </w:rPr>
              <w:t>GPM-K01-A01</w:t>
            </w:r>
          </w:p>
        </w:tc>
        <w:tc>
          <w:tcPr>
            <w:tcW w:type="dxa" w:w="5669"/>
            <w:vAlign w:val="center"/>
          </w:tcPr>
          <w:p>
            <w:r/>
            <w:r>
              <w:rPr>
                <w:b w:val="0"/>
                <w:sz w:val="17"/>
              </w:rPr>
              <w:t>Aufgaben, Daten, Informationen</w:t>
            </w:r>
          </w:p>
        </w:tc>
      </w:tr>
      <w:tr>
        <w:tc>
          <w:tcPr>
            <w:tcW w:type="dxa" w:w="1417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33/2</w:t>
            </w:r>
          </w:p>
        </w:tc>
        <w:tc>
          <w:tcPr>
            <w:tcW w:type="dxa" w:w="1871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GPM-K02-A01</w:t>
            </w:r>
          </w:p>
        </w:tc>
        <w:tc>
          <w:tcPr>
            <w:tcW w:type="dxa" w:w="5669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Anwendungs-/Informationssysteme, Vernetzung</w:t>
            </w:r>
          </w:p>
        </w:tc>
      </w:tr>
      <w:tr>
        <w:tc>
          <w:tcPr>
            <w:tcW w:type="dxa" w:w="1417"/>
            <w:vAlign w:val="center"/>
          </w:tcPr>
          <w:p>
            <w:r/>
            <w:r>
              <w:rPr>
                <w:b w:val="0"/>
                <w:sz w:val="17"/>
              </w:rPr>
              <w:t>33/3</w:t>
            </w:r>
          </w:p>
        </w:tc>
        <w:tc>
          <w:tcPr>
            <w:tcW w:type="dxa" w:w="1871"/>
            <w:vAlign w:val="center"/>
          </w:tcPr>
          <w:p>
            <w:r/>
            <w:r>
              <w:rPr>
                <w:b w:val="0"/>
                <w:sz w:val="17"/>
              </w:rPr>
              <w:t>GPM-K03-A01</w:t>
            </w:r>
          </w:p>
        </w:tc>
        <w:tc>
          <w:tcPr>
            <w:tcW w:type="dxa" w:w="5669"/>
            <w:vAlign w:val="center"/>
          </w:tcPr>
          <w:p>
            <w:r/>
            <w:r>
              <w:rPr>
                <w:b w:val="0"/>
                <w:sz w:val="17"/>
              </w:rPr>
              <w:t>Wirtschaftsinformatik als Bindeglied</w:t>
            </w:r>
          </w:p>
        </w:tc>
      </w:tr>
      <w:tr>
        <w:tc>
          <w:tcPr>
            <w:tcW w:type="dxa" w:w="1417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34/1</w:t>
            </w:r>
          </w:p>
        </w:tc>
        <w:tc>
          <w:tcPr>
            <w:tcW w:type="dxa" w:w="1871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GPM-K04-A01</w:t>
            </w:r>
          </w:p>
        </w:tc>
        <w:tc>
          <w:tcPr>
            <w:tcW w:type="dxa" w:w="5669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Analyse einer IST-Aufnahme</w:t>
            </w:r>
          </w:p>
        </w:tc>
      </w:tr>
      <w:tr>
        <w:tc>
          <w:tcPr>
            <w:tcW w:type="dxa" w:w="1417"/>
            <w:vAlign w:val="center"/>
          </w:tcPr>
          <w:p>
            <w:r/>
            <w:r>
              <w:rPr>
                <w:b w:val="0"/>
                <w:sz w:val="17"/>
              </w:rPr>
              <w:t>34/2</w:t>
            </w:r>
          </w:p>
        </w:tc>
        <w:tc>
          <w:tcPr>
            <w:tcW w:type="dxa" w:w="1871"/>
            <w:vAlign w:val="center"/>
          </w:tcPr>
          <w:p>
            <w:r/>
            <w:r>
              <w:rPr>
                <w:b w:val="0"/>
                <w:sz w:val="17"/>
              </w:rPr>
              <w:t>GPM-K05-A01</w:t>
            </w:r>
          </w:p>
        </w:tc>
        <w:tc>
          <w:tcPr>
            <w:tcW w:type="dxa" w:w="5669"/>
            <w:vAlign w:val="center"/>
          </w:tcPr>
          <w:p>
            <w:r/>
            <w:r>
              <w:rPr>
                <w:b w:val="0"/>
                <w:sz w:val="17"/>
              </w:rPr>
              <w:t>Use Case als Entwicklungsgrundlage</w:t>
            </w:r>
          </w:p>
        </w:tc>
      </w:tr>
      <w:tr>
        <w:tc>
          <w:tcPr>
            <w:tcW w:type="dxa" w:w="1417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34/3</w:t>
            </w:r>
          </w:p>
        </w:tc>
        <w:tc>
          <w:tcPr>
            <w:tcW w:type="dxa" w:w="1871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GPM-K06-A01</w:t>
            </w:r>
          </w:p>
        </w:tc>
        <w:tc>
          <w:tcPr>
            <w:tcW w:type="dxa" w:w="5669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Prozessbeschreibung</w:t>
            </w:r>
          </w:p>
        </w:tc>
      </w:tr>
      <w:tr>
        <w:tc>
          <w:tcPr>
            <w:tcW w:type="dxa" w:w="1417"/>
            <w:vAlign w:val="center"/>
          </w:tcPr>
          <w:p>
            <w:r/>
            <w:r>
              <w:rPr>
                <w:b w:val="0"/>
                <w:sz w:val="17"/>
              </w:rPr>
              <w:t>35/1</w:t>
            </w:r>
          </w:p>
        </w:tc>
        <w:tc>
          <w:tcPr>
            <w:tcW w:type="dxa" w:w="1871"/>
            <w:vAlign w:val="center"/>
          </w:tcPr>
          <w:p>
            <w:r/>
            <w:r>
              <w:rPr>
                <w:b w:val="0"/>
                <w:sz w:val="17"/>
              </w:rPr>
              <w:t>GPM-K07-A01</w:t>
            </w:r>
          </w:p>
        </w:tc>
        <w:tc>
          <w:tcPr>
            <w:tcW w:type="dxa" w:w="5669"/>
            <w:vAlign w:val="center"/>
          </w:tcPr>
          <w:p>
            <w:r/>
            <w:r>
              <w:rPr>
                <w:b w:val="0"/>
                <w:sz w:val="17"/>
              </w:rPr>
              <w:t>EPK: Ereignisse, Funktionen, Konventionen</w:t>
            </w:r>
          </w:p>
        </w:tc>
      </w:tr>
      <w:tr>
        <w:tc>
          <w:tcPr>
            <w:tcW w:type="dxa" w:w="1417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35/2</w:t>
            </w:r>
          </w:p>
        </w:tc>
        <w:tc>
          <w:tcPr>
            <w:tcW w:type="dxa" w:w="1871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GPM-K08-A01</w:t>
            </w:r>
          </w:p>
        </w:tc>
        <w:tc>
          <w:tcPr>
            <w:tcW w:type="dxa" w:w="5669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Konnektoren und Pfadtests</w:t>
            </w:r>
          </w:p>
        </w:tc>
      </w:tr>
      <w:tr>
        <w:tc>
          <w:tcPr>
            <w:tcW w:type="dxa" w:w="1417"/>
            <w:vAlign w:val="center"/>
          </w:tcPr>
          <w:p>
            <w:r/>
            <w:r>
              <w:rPr>
                <w:b w:val="0"/>
                <w:sz w:val="17"/>
              </w:rPr>
              <w:t>35/3</w:t>
            </w:r>
          </w:p>
        </w:tc>
        <w:tc>
          <w:tcPr>
            <w:tcW w:type="dxa" w:w="1871"/>
            <w:vAlign w:val="center"/>
          </w:tcPr>
          <w:p>
            <w:r/>
            <w:r>
              <w:rPr>
                <w:b w:val="0"/>
                <w:sz w:val="17"/>
              </w:rPr>
              <w:t>GPM-K09-A01</w:t>
            </w:r>
          </w:p>
        </w:tc>
        <w:tc>
          <w:tcPr>
            <w:tcW w:type="dxa" w:w="5669"/>
            <w:vAlign w:val="center"/>
          </w:tcPr>
          <w:p>
            <w:r/>
            <w:r>
              <w:rPr>
                <w:b w:val="0"/>
                <w:sz w:val="17"/>
              </w:rPr>
              <w:t>eEPK: Zuständigkeiten, Input/Output</w:t>
            </w:r>
          </w:p>
        </w:tc>
      </w:tr>
    </w:tbl>
    <w:p>
      <w:pPr>
        <w:pStyle w:val="Heading1"/>
      </w:pPr>
      <w:r>
        <w:t>Zeitstruktur pro Doppelstunde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rPr>
          <w:tblHeader w:val="true"/>
        </w:trPr>
        <w:tc>
          <w:tcPr>
            <w:tcW w:type="dxa" w:w="2268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Phase</w:t>
            </w:r>
          </w:p>
        </w:tc>
        <w:tc>
          <w:tcPr>
            <w:tcW w:type="dxa" w:w="1417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Richtzeit</w:t>
            </w:r>
          </w:p>
        </w:tc>
        <w:tc>
          <w:tcPr>
            <w:tcW w:type="dxa" w:w="5386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Hinweis</w:t>
            </w:r>
          </w:p>
        </w:tc>
      </w:tr>
      <w:tr>
        <w:tc>
          <w:tcPr>
            <w:tcW w:type="dxa" w:w="2268"/>
            <w:vAlign w:val="center"/>
          </w:tcPr>
          <w:p>
            <w:r/>
            <w:r>
              <w:rPr>
                <w:b w:val="0"/>
                <w:sz w:val="17"/>
              </w:rPr>
              <w:t>Einstieg/Eigenversuch</w:t>
            </w:r>
          </w:p>
        </w:tc>
        <w:tc>
          <w:tcPr>
            <w:tcW w:type="dxa" w:w="1417"/>
            <w:vAlign w:val="center"/>
          </w:tcPr>
          <w:p>
            <w:r/>
            <w:r>
              <w:rPr>
                <w:b w:val="0"/>
                <w:sz w:val="17"/>
              </w:rPr>
              <w:t>10 min</w:t>
            </w:r>
          </w:p>
        </w:tc>
        <w:tc>
          <w:tcPr>
            <w:tcW w:type="dxa" w:w="5386"/>
            <w:vAlign w:val="center"/>
          </w:tcPr>
          <w:p>
            <w:r/>
            <w:r>
              <w:rPr>
                <w:b w:val="0"/>
                <w:sz w:val="17"/>
              </w:rPr>
              <w:t>Situation lesen, Vermutung notieren</w:t>
            </w:r>
          </w:p>
        </w:tc>
      </w:tr>
      <w:tr>
        <w:tc>
          <w:tcPr>
            <w:tcW w:type="dxa" w:w="2268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Kurze Sicherung</w:t>
            </w:r>
          </w:p>
        </w:tc>
        <w:tc>
          <w:tcPr>
            <w:tcW w:type="dxa" w:w="1417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15 min</w:t>
            </w:r>
          </w:p>
        </w:tc>
        <w:tc>
          <w:tcPr>
            <w:tcW w:type="dxa" w:w="5386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Grundwissen und Muster klären</w:t>
            </w:r>
          </w:p>
        </w:tc>
      </w:tr>
      <w:tr>
        <w:tc>
          <w:tcPr>
            <w:tcW w:type="dxa" w:w="2268"/>
            <w:vAlign w:val="center"/>
          </w:tcPr>
          <w:p>
            <w:r/>
            <w:r>
              <w:rPr>
                <w:b w:val="0"/>
                <w:sz w:val="17"/>
              </w:rPr>
              <w:t>Kernauftrag</w:t>
            </w:r>
          </w:p>
        </w:tc>
        <w:tc>
          <w:tcPr>
            <w:tcW w:type="dxa" w:w="1417"/>
            <w:vAlign w:val="center"/>
          </w:tcPr>
          <w:p>
            <w:r/>
            <w:r>
              <w:rPr>
                <w:b w:val="0"/>
                <w:sz w:val="17"/>
              </w:rPr>
              <w:t>45–50 min</w:t>
            </w:r>
          </w:p>
        </w:tc>
        <w:tc>
          <w:tcPr>
            <w:tcW w:type="dxa" w:w="5386"/>
            <w:vAlign w:val="center"/>
          </w:tcPr>
          <w:p>
            <w:r/>
            <w:r>
              <w:rPr>
                <w:b w:val="0"/>
                <w:sz w:val="17"/>
              </w:rPr>
              <w:t>Vorlage bearbeiten</w:t>
            </w:r>
          </w:p>
        </w:tc>
      </w:tr>
      <w:tr>
        <w:tc>
          <w:tcPr>
            <w:tcW w:type="dxa" w:w="2268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Prüfnachweis/Abgabe</w:t>
            </w:r>
          </w:p>
        </w:tc>
        <w:tc>
          <w:tcPr>
            <w:tcW w:type="dxa" w:w="1417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10 min</w:t>
            </w:r>
          </w:p>
        </w:tc>
        <w:tc>
          <w:tcPr>
            <w:tcW w:type="dxa" w:w="5386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Selbstprüfung, Export, Dateiname</w:t>
            </w:r>
          </w:p>
        </w:tc>
      </w:tr>
      <w:tr>
        <w:tc>
          <w:tcPr>
            <w:tcW w:type="dxa" w:w="2268"/>
            <w:vAlign w:val="center"/>
          </w:tcPr>
          <w:p>
            <w:r/>
            <w:r>
              <w:rPr>
                <w:b w:val="0"/>
                <w:sz w:val="17"/>
              </w:rPr>
              <w:t>Puffer/Vertiefung</w:t>
            </w:r>
          </w:p>
        </w:tc>
        <w:tc>
          <w:tcPr>
            <w:tcW w:type="dxa" w:w="1417"/>
            <w:vAlign w:val="center"/>
          </w:tcPr>
          <w:p>
            <w:r/>
            <w:r>
              <w:rPr>
                <w:b w:val="0"/>
                <w:sz w:val="17"/>
              </w:rPr>
              <w:t>5–15 min</w:t>
            </w:r>
          </w:p>
        </w:tc>
        <w:tc>
          <w:tcPr>
            <w:tcW w:type="dxa" w:w="5386"/>
            <w:vAlign w:val="center"/>
          </w:tcPr>
          <w:p>
            <w:r/>
            <w:r>
              <w:rPr>
                <w:b w:val="0"/>
                <w:sz w:val="17"/>
              </w:rPr>
              <w:t>nur falls Kern vollständig</w:t>
            </w:r>
          </w:p>
        </w:tc>
      </w:tr>
    </w:tbl>
    <w:p>
      <w:pPr>
        <w:pStyle w:val="Heading1"/>
      </w:pPr>
      <w:r>
        <w:t>Lösungs- und Bewertungsübersicht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6"/>
        <w:gridCol w:w="2466"/>
        <w:gridCol w:w="2466"/>
        <w:gridCol w:w="2466"/>
      </w:tblGrid>
      <w:tr>
        <w:trPr>
          <w:tblHeader w:val="true"/>
        </w:trPr>
        <w:tc>
          <w:tcPr>
            <w:tcW w:type="dxa" w:w="1701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ID</w:t>
            </w:r>
          </w:p>
        </w:tc>
        <w:tc>
          <w:tcPr>
            <w:tcW w:type="dxa" w:w="4649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Erwartung/zulässige Variante</w:t>
            </w:r>
          </w:p>
        </w:tc>
        <w:tc>
          <w:tcPr>
            <w:tcW w:type="dxa" w:w="680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P.</w:t>
            </w:r>
          </w:p>
        </w:tc>
        <w:tc>
          <w:tcPr>
            <w:tcW w:type="dxa" w:w="2835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Typische Fehler</w:t>
            </w:r>
          </w:p>
        </w:tc>
      </w:tr>
      <w:tr>
        <w:tc>
          <w:tcPr>
            <w:tcW w:type="dxa" w:w="1701"/>
            <w:vAlign w:val="center"/>
          </w:tcPr>
          <w:p>
            <w:r/>
            <w:r>
              <w:rPr>
                <w:b w:val="0"/>
                <w:sz w:val="17"/>
              </w:rPr>
              <w:t>GPM-K01-A01</w:t>
            </w:r>
          </w:p>
        </w:tc>
        <w:tc>
          <w:tcPr>
            <w:tcW w:type="dxa" w:w="4649"/>
            <w:vAlign w:val="center"/>
          </w:tcPr>
          <w:p>
            <w:r/>
            <w:r>
              <w:rPr>
                <w:b w:val="0"/>
                <w:sz w:val="17"/>
              </w:rPr>
              <w:t>Bestellung eingegangen → Auftrag prüfen → Bestand/Zahlung prüfen → Ware kommissionieren → versenden; Rollen und Daten korrekt zugeordnet.</w:t>
            </w:r>
          </w:p>
        </w:tc>
        <w:tc>
          <w:tcPr>
            <w:tcW w:type="dxa" w:w="680"/>
            <w:vAlign w:val="center"/>
          </w:tcPr>
          <w:p>
            <w:r/>
            <w:r>
              <w:rPr>
                <w:b w:val="0"/>
                <w:sz w:val="17"/>
              </w:rPr>
              <w:t>12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b w:val="0"/>
                <w:sz w:val="17"/>
              </w:rPr>
              <w:t>Aufgabe statt Zustand; Daten ohne Kontext; Prozess endet im Ausnahmefall nicht.</w:t>
            </w:r>
          </w:p>
        </w:tc>
      </w:tr>
      <w:tr>
        <w:tc>
          <w:tcPr>
            <w:tcW w:type="dxa" w:w="1701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GPM-K02-A01</w:t>
            </w:r>
          </w:p>
        </w:tc>
        <w:tc>
          <w:tcPr>
            <w:tcW w:type="dxa" w:w="4649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Kundin, Webshop, Lagerverwaltung, Zahlungsdienst, Versand; fachlich gerichtete und beschriftete Datenflüsse.</w:t>
            </w:r>
          </w:p>
        </w:tc>
        <w:tc>
          <w:tcPr>
            <w:tcW w:type="dxa" w:w="680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12</w:t>
            </w:r>
          </w:p>
        </w:tc>
        <w:tc>
          <w:tcPr>
            <w:tcW w:type="dxa" w:w="2835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Personen und Systeme nicht unterscheidbar; Pfeil „Daten“ ohne Inhalt.</w:t>
            </w:r>
          </w:p>
        </w:tc>
      </w:tr>
      <w:tr>
        <w:tc>
          <w:tcPr>
            <w:tcW w:type="dxa" w:w="1701"/>
            <w:vAlign w:val="center"/>
          </w:tcPr>
          <w:p>
            <w:r/>
            <w:r>
              <w:rPr>
                <w:b w:val="0"/>
                <w:sz w:val="17"/>
              </w:rPr>
              <w:t>GPM-K03-A01</w:t>
            </w:r>
          </w:p>
        </w:tc>
        <w:tc>
          <w:tcPr>
            <w:tcW w:type="dxa" w:w="4649"/>
            <w:vAlign w:val="center"/>
          </w:tcPr>
          <w:p>
            <w:r/>
            <w:r>
              <w:rPr>
                <w:b w:val="0"/>
                <w:sz w:val="17"/>
              </w:rPr>
              <w:t>Ist-Problem, Soll-Zustand, zwei funktionale und eine nichtfunktionale Anforderung mit testbaren Kriterien.</w:t>
            </w:r>
          </w:p>
        </w:tc>
        <w:tc>
          <w:tcPr>
            <w:tcW w:type="dxa" w:w="680"/>
            <w:vAlign w:val="center"/>
          </w:tcPr>
          <w:p>
            <w:r/>
            <w:r>
              <w:rPr>
                <w:b w:val="0"/>
                <w:sz w:val="17"/>
              </w:rPr>
              <w:t>12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b w:val="0"/>
                <w:sz w:val="17"/>
              </w:rPr>
              <w:t>Lösung schon technisch festgelegt; „schnell/gut“ ohne Messkriterium.</w:t>
            </w:r>
          </w:p>
        </w:tc>
      </w:tr>
      <w:tr>
        <w:tc>
          <w:tcPr>
            <w:tcW w:type="dxa" w:w="1701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GPM-K04-A01</w:t>
            </w:r>
          </w:p>
        </w:tc>
        <w:tc>
          <w:tcPr>
            <w:tcW w:type="dxa" w:w="4649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Reklamation vom Eingang bis dokumentierter Entscheidung; Rollen, Tätigkeiten, Entscheidung und Daten.</w:t>
            </w:r>
          </w:p>
        </w:tc>
        <w:tc>
          <w:tcPr>
            <w:tcW w:type="dxa" w:w="680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12</w:t>
            </w:r>
          </w:p>
        </w:tc>
        <w:tc>
          <w:tcPr>
            <w:tcW w:type="dxa" w:w="2835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Prozessgrenze unbegründet; Rolle als Tätigkeit formuliert.</w:t>
            </w:r>
          </w:p>
        </w:tc>
      </w:tr>
      <w:tr>
        <w:tc>
          <w:tcPr>
            <w:tcW w:type="dxa" w:w="1701"/>
            <w:vAlign w:val="center"/>
          </w:tcPr>
          <w:p>
            <w:r/>
            <w:r>
              <w:rPr>
                <w:b w:val="0"/>
                <w:sz w:val="17"/>
              </w:rPr>
              <w:t>GPM-K05-A01</w:t>
            </w:r>
          </w:p>
        </w:tc>
        <w:tc>
          <w:tcPr>
            <w:tcW w:type="dxa" w:w="4649"/>
            <w:vAlign w:val="center"/>
          </w:tcPr>
          <w:p>
            <w:r/>
            <w:r>
              <w:rPr>
                <w:b w:val="0"/>
                <w:sz w:val="17"/>
              </w:rPr>
              <w:t>Akteur/Ziel, Auslöser, 2 Vorbedingungen, 5 Standardschritte, 2 Alternativen, Daten, Nachbedingung, 2 Kriterien.</w:t>
            </w:r>
          </w:p>
        </w:tc>
        <w:tc>
          <w:tcPr>
            <w:tcW w:type="dxa" w:w="680"/>
            <w:vAlign w:val="center"/>
          </w:tcPr>
          <w:p>
            <w:r/>
            <w:r>
              <w:rPr>
                <w:b w:val="0"/>
                <w:sz w:val="17"/>
              </w:rPr>
              <w:t>14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b w:val="0"/>
                <w:sz w:val="17"/>
              </w:rPr>
              <w:t>Vorbedingung im Ablauf; Alternative ohne Rückkehr oder Ende.</w:t>
            </w:r>
          </w:p>
        </w:tc>
      </w:tr>
      <w:tr>
        <w:tc>
          <w:tcPr>
            <w:tcW w:type="dxa" w:w="1701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GPM-K06-A01</w:t>
            </w:r>
          </w:p>
        </w:tc>
        <w:tc>
          <w:tcPr>
            <w:tcW w:type="dxa" w:w="4649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Ereignisse/Funktionen sprachlich sauber, Reihenfolge, Rollen sowie je drei zentrale Inputs/Outputs.</w:t>
            </w:r>
          </w:p>
        </w:tc>
        <w:tc>
          <w:tcPr>
            <w:tcW w:type="dxa" w:w="680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12</w:t>
            </w:r>
          </w:p>
        </w:tc>
        <w:tc>
          <w:tcPr>
            <w:tcW w:type="dxa" w:w="2835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Zustand und Tätigkeit verwechselt; Daten entstehen erst nach Verwendung.</w:t>
            </w:r>
          </w:p>
        </w:tc>
      </w:tr>
      <w:tr>
        <w:tc>
          <w:tcPr>
            <w:tcW w:type="dxa" w:w="1701"/>
            <w:vAlign w:val="center"/>
          </w:tcPr>
          <w:p>
            <w:r/>
            <w:r>
              <w:rPr>
                <w:b w:val="0"/>
                <w:sz w:val="17"/>
              </w:rPr>
              <w:t>GPM-K07-A01</w:t>
            </w:r>
          </w:p>
        </w:tc>
        <w:tc>
          <w:tcPr>
            <w:tcW w:type="dxa" w:w="4649"/>
            <w:vAlign w:val="center"/>
          </w:tcPr>
          <w:p>
            <w:r/>
            <w:r>
              <w:rPr>
                <w:b w:val="0"/>
                <w:sz w:val="17"/>
              </w:rPr>
              <w:t>Start-/Endereignis, alternierende lineare EPK, eindeutige Benennung und Kontrollfluss.</w:t>
            </w:r>
          </w:p>
        </w:tc>
        <w:tc>
          <w:tcPr>
            <w:tcW w:type="dxa" w:w="680"/>
            <w:vAlign w:val="center"/>
          </w:tcPr>
          <w:p>
            <w:r/>
            <w:r>
              <w:rPr>
                <w:b w:val="0"/>
                <w:sz w:val="17"/>
              </w:rPr>
              <w:t>14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b w:val="0"/>
                <w:sz w:val="17"/>
              </w:rPr>
              <w:t>Funktion–Funktion; fehlendes Ende; Symbol nur optisch statt semantisch gewählt.</w:t>
            </w:r>
          </w:p>
        </w:tc>
      </w:tr>
      <w:tr>
        <w:tc>
          <w:tcPr>
            <w:tcW w:type="dxa" w:w="1701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GPM-K08-A01</w:t>
            </w:r>
          </w:p>
        </w:tc>
        <w:tc>
          <w:tcPr>
            <w:tcW w:type="dxa" w:w="4649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XOR für genau eine Alternative, UND für parallele Pflichtschritte; Split/Join konsistent; zwei Pfadtests.</w:t>
            </w:r>
          </w:p>
        </w:tc>
        <w:tc>
          <w:tcPr>
            <w:tcW w:type="dxa" w:w="680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16</w:t>
            </w:r>
          </w:p>
        </w:tc>
        <w:tc>
          <w:tcPr>
            <w:tcW w:type="dxa" w:w="2835"/>
            <w:vAlign w:val="center"/>
            <w:shd w:fill="F7FBFA"/>
          </w:tcPr>
          <w:p>
            <w:r/>
            <w:r>
              <w:rPr>
                <w:b w:val="0"/>
                <w:sz w:val="17"/>
              </w:rPr>
              <w:t>XOR/ODER verwechselt; Zusammenführung fehlt; unvollständiger Pfad.</w:t>
            </w:r>
          </w:p>
        </w:tc>
      </w:tr>
      <w:tr>
        <w:tc>
          <w:tcPr>
            <w:tcW w:type="dxa" w:w="1701"/>
            <w:vAlign w:val="center"/>
          </w:tcPr>
          <w:p>
            <w:r/>
            <w:r>
              <w:rPr>
                <w:b w:val="0"/>
                <w:sz w:val="17"/>
              </w:rPr>
              <w:t>GPM-K09-A01</w:t>
            </w:r>
          </w:p>
        </w:tc>
        <w:tc>
          <w:tcPr>
            <w:tcW w:type="dxa" w:w="4649"/>
            <w:vAlign w:val="center"/>
          </w:tcPr>
          <w:p>
            <w:r/>
            <w:r>
              <w:rPr>
                <w:b w:val="0"/>
                <w:sz w:val="17"/>
              </w:rPr>
              <w:t>Jeder Funktion eine Rolle; 3 Datenobjekte mit Richtung; System/Schnittstelle; 2 Anforderungen + 2 Tests.</w:t>
            </w:r>
          </w:p>
        </w:tc>
        <w:tc>
          <w:tcPr>
            <w:tcW w:type="dxa" w:w="680"/>
            <w:vAlign w:val="center"/>
          </w:tcPr>
          <w:p>
            <w:r/>
            <w:r>
              <w:rPr>
                <w:b w:val="0"/>
                <w:sz w:val="17"/>
              </w:rPr>
              <w:t>18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b w:val="0"/>
                <w:sz w:val="17"/>
              </w:rPr>
              <w:t>Rollen/Daten an Ereignissen; Pfeilrichtung unklar; Tests ohne erwartetes Ergebnis.</w:t>
            </w:r>
          </w:p>
        </w:tc>
      </w:tr>
    </w:tbl>
    <w:p>
      <w:pPr>
        <w:pStyle w:val="Heading1"/>
      </w:pPr>
      <w:r>
        <w:t>Korrekturgrundsätze</w:t>
      </w:r>
    </w:p>
    <w:p>
      <w:pPr>
        <w:pStyle w:val="ListBullet"/>
      </w:pPr>
      <w:r>
        <w:t>Syntax und Semantik getrennt bewerten. Ein optisch schönes, fachlich falsches Modell ist nicht korrekt.</w:t>
      </w:r>
    </w:p>
    <w:p>
      <w:pPr>
        <w:pStyle w:val="ListBullet"/>
      </w:pPr>
      <w:r>
        <w:t>Freie Anordnung und Farben nicht bewerten, solange Lesbarkeit, Richtung und Zuordnung eindeutig sind.</w:t>
      </w:r>
    </w:p>
    <w:p>
      <w:pPr>
        <w:pStyle w:val="ListBullet"/>
      </w:pPr>
      <w:r>
        <w:t>Alternativlösungen akzeptieren, wenn sie zur Situation passen, vollständig enden und begründet sind.</w:t>
      </w:r>
    </w:p>
    <w:p>
      <w:pPr>
        <w:pStyle w:val="ListBullet"/>
      </w:pPr>
      <w:r>
        <w:t>Teilpunkte dokumentieren; Folgefehler nicht mehrfach bestrafen.</w:t>
      </w:r>
    </w:p>
    <w:p>
      <w:pPr>
        <w:pStyle w:val="ListBullet"/>
      </w:pPr>
      <w:r>
        <w:t>Bei eEPK: Organisationseinheiten zeigen auf Funktionen. Informationsobjekte werden mit Funktionen verbunden; Pfeilrichtung macht Input bzw. Output sichtbar.</w:t>
      </w:r>
    </w:p>
    <w:p>
      <w:pPr>
        <w:pStyle w:val="Heading1"/>
      </w:pPr>
      <w:r>
        <w:t>Differenzierung und Lernagent</w:t>
      </w:r>
    </w:p>
    <w:p>
      <w:r>
        <w:t>Pflichtweg: Kernauftrag plus Prüfnachweis. Hilfen 1–4 werden nacheinander freigegeben. Schnelle Lernende bearbeiten Vertiefung, Fehlermodell oder Soll-Prozess. Der KI-Assistent fragt, gibt Hinweise und fordert Begründungen; er erstellt keine sofortige Komplettlösung. Bei fehlender KI bleibt der vollständige Lernweg erhalten.</w:t>
      </w:r>
    </w:p>
    <w:p>
      <w:pPr>
        <w:pStyle w:val="Heading1"/>
      </w:pPr>
      <w:r>
        <w:t>Material- und Abgabecheck</w:t>
      </w:r>
    </w:p>
    <w:p>
      <w:r>
        <w:t>☐ Vor Unterricht: Draw.io Desktop starten und eine .drawio-Datei testweise öffnen.</w:t>
      </w:r>
    </w:p>
    <w:p>
      <w:r>
        <w:t>☐ Aufgaben-ID, Name und Version im Dateinamen sichern.</w:t>
      </w:r>
    </w:p>
    <w:p>
      <w:r>
        <w:t>☐ Ab Kapitel 7 immer .drawio UND PDF-Export abgeben.</w:t>
      </w:r>
    </w:p>
    <w:p>
      <w:r>
        <w:t>☐ Musterklassenarbeit und Lösungen bleiben ausschließlich im Lehrkraftpaket.</w:t>
      </w:r>
    </w:p>
    <w:p>
      <w:r>
        <w:t>☐ Historische PDFs dienen nur als interne Referenz; keine SWF-/HTTP-Abhängigkeiten und keine ungeklärten Fremdquellen im Schülerpaket.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  <w:tblCellSpacing w:w="0" w:type="dxa"/>
      </w:tblPr>
      <w:tblGrid>
        <w:gridCol w:w="60"/>
        <w:gridCol w:w="160"/>
        <w:gridCol w:w="9646"/>
      </w:tblGrid>
      <w:tr>
        <w:trPr>
          <w:tblHeader/>
        </w:trPr>
        <w:tc>
          <w:tcPr>
            <w:tcW w:w="60" w:type="dxa"/>
            <w:tcMar>
              <w:top w:w="0" w:type="dxa"/>
              <w:start w:w="0" w:type="dxa"/>
              <w:bottom w:w="0" w:type="dxa"/>
              <w:end w:w="0" w:type="dxa"/>
            </w:tcMar>
            <w:shd w:val="clear" w:color="auto" w:fill="B58B00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/>
        </w:tc>
        <w:tc>
          <w:tcPr>
            <w:tcW w:w="160" w:type="dxa"/>
            <w:tcMar>
              <w:top w:w="0" w:type="dxa"/>
              <w:start w:w="0" w:type="dxa"/>
              <w:bottom w:w="0" w:type="dxa"/>
              <w:end w:w="0" w:type="dxa"/>
            </w:tcMar>
            <w:shd w:val="clear" w:color="auto" w:fill="FFFFFF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/>
        </w:tc>
        <w:tc>
          <w:tcPr>
            <w:tcW w:type="dxa" w:w="9646"/>
            <w:shd w:fill="FFF8D9" w:val="clear" w:color="auto"/>
            <w:tcMar>
              <w:top w:w="100" w:type="dxa"/>
              <w:start w:w="150" w:type="dxa"/>
              <w:bottom w:w="100" w:type="dxa"/>
              <w:end w:w="150" w:type="dxa"/>
            </w:tcMar>
            <w:tcBorders>
              <w:top w:val="single" w:color="D9D9D9" w:sz="4" w:space="2"/>
              <w:left w:val="nil"/>
              <w:bottom w:val="single" w:color="D9D9D9" w:sz="4" w:space="2"/>
              <w:right w:val="single" w:color="D9D9D9" w:sz="4" w:space="2"/>
              <w:insideH w:val="nil"/>
              <w:insideV w:val="nil"/>
            </w:tcBorders>
          </w:tcPr>
          <w:p>
            <w:pPr>
              <w:pStyle w:val="LSMerksatz"/>
              <w:keepLines/>
              <w:spacing w:before="0" w:after="40"/>
              <w:ind w:left="0" w:right="0"/>
            </w:pPr>
            <w:r>
              <w:rPr>
                <w:rFonts w:ascii="Aptos" w:hAnsi="Aptos"/>
                <w:b/>
                <w:color w:val="17324D"/>
                <w:sz w:val="19"/>
              </w:rPr>
              <w:t xml:space="preserve">Merksatz Konnektoren: </w:t>
            </w:r>
            <w:r>
              <w:rPr>
                <w:rFonts w:ascii="Aptos" w:hAnsi="Aptos"/>
                <w:b/>
                <w:color w:val="17324D"/>
                <w:sz w:val="19"/>
              </w:rPr>
              <w:t>UND = alle · XOR = genau eines · ODER = mindestens eines. Aufspaltung und Zusammenführung müssen fachlich zusammenpassen.</w:t>
            </w:r>
          </w:p>
        </w:tc>
      </w:tr>
    </w:tbl>
    <w:p/>
    <w:p>
      <w:r>
        <w:br w:type="page"/>
      </w:r>
    </w:p>
    <w:p>
      <w:pPr>
        <w:pStyle w:val="Heading1"/>
      </w:pPr>
      <w:r>
        <w:t>Mockup-Routine – didaktischer Einsatz</w:t>
      </w:r>
    </w:p>
    <w:p>
      <w:r>
        <w:t>Der Baustein GPM-M01-A01 ist optional und erweitert den verpflichtenden 18-Stunden-Kern. Er eignet sich besonders für die Erweiterung bestehender Systeme. Bewertet werden Prozessbezug, Datenbegründung, Zustände und Testbarkeit – nicht dekoratives Design.</w:t>
      </w:r>
    </w:p>
    <w:p>
      <w:pPr>
        <w:pStyle w:val="Heading2"/>
      </w:pPr>
      <w:r>
        <w:t>Erwartungshorizont GPM-M01-A01 (20 P.)</w:t>
      </w:r>
    </w:p>
    <w:p>
      <w:pPr>
        <w:pStyle w:val="ListBullet"/>
      </w:pPr>
      <w:r>
        <w:t>Prozessanker/Funktion und Rolle korrekt: 3 P.</w:t>
      </w:r>
    </w:p>
    <w:p>
      <w:pPr>
        <w:pStyle w:val="ListBullet"/>
      </w:pPr>
      <w:r>
        <w:t>fachlich begründete Ein- und Ausgaben: 4 P.</w:t>
      </w:r>
    </w:p>
    <w:p>
      <w:pPr>
        <w:pStyle w:val="ListBullet"/>
      </w:pPr>
      <w:r>
        <w:t>Nutzeraktion und Systemreaktion eindeutig: 4 P.</w:t>
      </w:r>
    </w:p>
    <w:p>
      <w:pPr>
        <w:pStyle w:val="ListBullet"/>
      </w:pPr>
      <w:r>
        <w:t>Fehler- und Erfolgszustand verständlich: 4 P.</w:t>
      </w:r>
    </w:p>
    <w:p>
      <w:pPr>
        <w:pStyle w:val="ListBullet"/>
      </w:pPr>
      <w:r>
        <w:t>Normal- und Fehlerfall testbar: 3 P.</w:t>
      </w:r>
    </w:p>
    <w:p>
      <w:pPr>
        <w:pStyle w:val="ListBullet"/>
      </w:pPr>
      <w:r>
        <w:t>Datenminimierung/Barrierearmut reflektiert: 2 P.</w:t>
      </w:r>
    </w:p>
    <w:p>
      <w:r>
        <w:t>Typische Fehler: Mockup ohne Prozessbezug; zusätzliche unbegründete Felder; fehlende Systemzustände; Fehlermeldung ohne Handlungsoption; Akzeptanztest nur als Designurteil.</w:t>
      </w:r>
    </w:p>
    <w:p>
      <w:r>
        <w:br w:type="page"/>
      </w:r>
    </w:p>
    <w:p>
      <w:pPr>
        <w:pStyle w:val="Heading1"/>
      </w:pPr>
      <w:r>
        <w:t>Grafische Oberflächen als Aktivierungsimpuls</w:t>
      </w:r>
    </w:p>
    <w:p>
      <w:r>
        <w:t>Wie in den Webentwicklungs- und OOP-Skripten stehen reale grafische Zielansichten am Beginn. Im GPM-Kurs werden sie jedoch nicht nachgebaut: Die Lernenden beobachten sichtbares Verhalten und leiten daraus den unsichtbaren Prozess ab. Die Bilder gehören zur vorhandenen Einstiegszeit; sie erweitern die 18 Stunden nicht.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89"/>
        <w:gridCol w:w="3289"/>
        <w:gridCol w:w="3289"/>
      </w:tblGrid>
      <w:tr>
        <w:trPr>
          <w:tblHeader w:val="true"/>
        </w:trPr>
        <w:tc>
          <w:tcPr>
            <w:tcW w:type="dxa" w:w="3289"/>
            <w:shd w:fill="176E65"/>
          </w:tcPr>
          <w:p>
            <w:r>
              <w:t>Oberfläche</w:t>
            </w:r>
          </w:p>
        </w:tc>
        <w:tc>
          <w:tcPr>
            <w:tcW w:type="dxa" w:w="3289"/>
            <w:shd w:fill="176E65"/>
          </w:tcPr>
          <w:p>
            <w:r>
              <w:t>Einsatz</w:t>
            </w:r>
          </w:p>
        </w:tc>
        <w:tc>
          <w:tcPr>
            <w:tcW w:type="dxa" w:w="3289"/>
            <w:shd w:fill="176E65"/>
          </w:tcPr>
          <w:p>
            <w:r>
              <w:t>Erwartete Ableitung</w:t>
            </w:r>
          </w:p>
        </w:tc>
      </w:tr>
      <w:tr>
        <w:tc>
          <w:tcPr>
            <w:tcW w:type="dxa" w:w="3289"/>
          </w:tcPr>
          <w:p>
            <w:r>
              <w:t>Bestellung</w:t>
            </w:r>
          </w:p>
        </w:tc>
        <w:tc>
          <w:tcPr>
            <w:tcW w:type="dxa" w:w="3289"/>
          </w:tcPr>
          <w:p>
            <w:r>
              <w:t>Kap. 1</w:t>
            </w:r>
          </w:p>
        </w:tc>
        <w:tc>
          <w:tcPr>
            <w:tcW w:type="dxa" w:w="3289"/>
          </w:tcPr>
          <w:p>
            <w:r>
              <w:t>Eingaben → Prüfung → Freigabe → Versand; Systeme/Datenflüsse vermuten</w:t>
            </w:r>
          </w:p>
        </w:tc>
      </w:tr>
      <w:tr>
        <w:tc>
          <w:tcPr>
            <w:tcW w:type="dxa" w:w="3289"/>
          </w:tcPr>
          <w:p>
            <w:r>
              <w:t>Reklamation</w:t>
            </w:r>
          </w:p>
        </w:tc>
        <w:tc>
          <w:tcPr>
            <w:tcW w:type="dxa" w:w="3289"/>
          </w:tcPr>
          <w:p>
            <w:r>
              <w:t>Kap. 4</w:t>
            </w:r>
          </w:p>
        </w:tc>
        <w:tc>
          <w:tcPr>
            <w:tcW w:type="dxa" w:w="3289"/>
          </w:tcPr>
          <w:p>
            <w:r>
              <w:t>UI-Zustände → Startereignis, Funktionen, Entscheidungen, Endereignisse</w:t>
            </w:r>
          </w:p>
        </w:tc>
      </w:tr>
      <w:tr>
        <w:tc>
          <w:tcPr>
            <w:tcW w:type="dxa" w:w="3289"/>
          </w:tcPr>
          <w:p>
            <w:r>
              <w:t>Lernagent</w:t>
            </w:r>
          </w:p>
        </w:tc>
        <w:tc>
          <w:tcPr>
            <w:tcW w:type="dxa" w:w="3289"/>
          </w:tcPr>
          <w:p>
            <w:r>
              <w:t>Kap. 5</w:t>
            </w:r>
          </w:p>
        </w:tc>
        <w:tc>
          <w:tcPr>
            <w:tcW w:type="dxa" w:w="3289"/>
          </w:tcPr>
          <w:p>
            <w:r>
              <w:t>Aktionen/Zustände → Use Case, Alternativen, Regeln, Akzeptanztests</w:t>
            </w:r>
          </w:p>
        </w:tc>
      </w:tr>
    </w:tbl>
    <w:p>
      <w:r>
        <w:t>Vertiefung: Nur GPM-M01-A01 verlangt einen eigenen Low-Fidelity-Entwurf und den vollständigen Prozess–Mockup–Test-Zusammenhang. Dieser Baustein ist nicht klassenarbeitsrelevant, solange er nicht ausdrücklich angekündigt wird.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0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6E65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