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6E65"/>
          <w:sz w:val="50"/>
        </w:rPr>
        <w:t>Lösung und Erwartungshorizont</w:t>
      </w:r>
    </w:p>
    <w:p>
      <w:pPr>
        <w:jc w:val="center"/>
      </w:pPr>
      <w:r>
        <w:rPr>
          <w:sz w:val="24"/>
        </w:rPr>
        <w:t>Musterklassenarbeit GPM · 60 Punkte</w:t>
      </w:r>
    </w:p>
    <w:p>
      <w:pPr>
        <w:jc w:val="center"/>
      </w:pPr>
      <w:r>
        <w:t>FINALFASSUNG · Version 1.0 · Schuljahr 2026/2027</w:t>
      </w:r>
    </w:p>
    <w:p>
      <w:pPr>
        <w:pStyle w:val="Heading1"/>
      </w:pPr>
      <w:r>
        <w:t>Aufgabe 1 (12 P.)</w:t>
      </w:r>
    </w:p>
    <w:p>
      <w:r>
        <w:t>Anwendungssystem: technische Kombination aus Hard-/Software, z. B. Schul-App (2). Informationssystem: umfasst zusätzlich Menschen, Aufgaben, Regeln und Abläufe (2). Datenbeispiele: Bestand 0 → Artikel nicht verfügbar; Zahlungsstatus „abgelehnt“ → Auftrag kann nicht freigegeben werden (je 2). Skizze: drei passende Elemente und zwei gerichtete, konkret beschriftete Flüsse (4).</w:t>
      </w:r>
    </w:p>
    <w:p>
      <w:pPr>
        <w:pStyle w:val="Heading1"/>
      </w:pPr>
      <w:r>
        <w:t>Aufgabe 2 (12 P.)</w:t>
      </w:r>
    </w:p>
    <w:p>
      <w:r>
        <w:t>Start „Bestellung ist eingegangen“ (1); zwei sinnvolle Enden (2); vier passende Funktionen (4); zwei Rollen (1); Entscheidung (1); zwei Datenobjekte (2); nachvollziehbare Prozessgrenze (1). Varianten sind zulässig.</w:t>
      </w:r>
    </w:p>
    <w:p>
      <w:pPr>
        <w:pStyle w:val="Heading1"/>
      </w:pPr>
      <w:r>
        <w:t>Aufgabe 3 (26 P.)</w:t>
      </w:r>
    </w:p>
    <w:p>
      <w:r>
        <w:t>Start/Ende und vollständige Pfade 4; Ereignis-/Funktionswechsel und Benennung 5; XOR Bestandsentscheidung 3; XOR Zahlungsentscheidung 3; UND-Aufspaltung und passende Zusammenführung 4; zwei korrekte Zuständigkeiten an Funktionen 2; drei Informationsobjekte mit sinnvoller Richtung 3; Schnittstelle 2.</w:t>
      </w:r>
    </w:p>
    <w:p>
      <w:pPr>
        <w:pStyle w:val="Heading1"/>
      </w:pPr>
      <w:r>
        <w:t>Aufgabe 4 (10 P.)</w:t>
      </w:r>
    </w:p>
    <w:p>
      <w:r>
        <w:t>Pfadtests mit Eingabe/Verlauf/erwartetem Ende je 2 (4). Zwei Anforderungen nach dem Muster „Wenn …, dann …“, objektiv prüfbar, je 2 (4). Begründung: Syntax, Semantik und Fallabdeckung sind unabhängig von Farben/Anordnung (2).</w:t>
      </w:r>
    </w:p>
    <w:p>
      <w:pPr>
        <w:pStyle w:val="Heading1"/>
      </w:pPr>
      <w:r>
        <w:t>Notenschlüssel – Vorschlag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rPr>
          <w:tblHeader w:val="true"/>
        </w:trPr>
        <w:tc>
          <w:tcPr>
            <w:tcW w:type="dxa" w:w="1701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Note</w:t>
            </w:r>
          </w:p>
        </w:tc>
        <w:tc>
          <w:tcPr>
            <w:tcW w:type="dxa" w:w="2268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Punkte</w:t>
            </w:r>
          </w:p>
        </w:tc>
        <w:tc>
          <w:tcPr>
            <w:tcW w:type="dxa" w:w="2268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Prozent</w:t>
            </w:r>
          </w:p>
        </w:tc>
      </w:tr>
      <w:tr>
        <w:tc>
          <w:tcPr>
            <w:tcW w:type="dxa" w:w="1701"/>
            <w:vAlign w:val="center"/>
          </w:tcPr>
          <w:p>
            <w:r/>
            <w:r>
              <w:rPr>
                <w:b w:val="0"/>
                <w:sz w:val="17"/>
              </w:rPr>
              <w:t>1</w:t>
            </w:r>
          </w:p>
        </w:tc>
        <w:tc>
          <w:tcPr>
            <w:tcW w:type="dxa" w:w="2268"/>
            <w:vAlign w:val="center"/>
          </w:tcPr>
          <w:p>
            <w:r/>
            <w:r>
              <w:rPr>
                <w:b w:val="0"/>
                <w:sz w:val="17"/>
              </w:rPr>
              <w:t>55–60</w:t>
            </w:r>
          </w:p>
        </w:tc>
        <w:tc>
          <w:tcPr>
            <w:tcW w:type="dxa" w:w="2268"/>
            <w:vAlign w:val="center"/>
          </w:tcPr>
          <w:p>
            <w:r/>
            <w:r>
              <w:rPr>
                <w:b w:val="0"/>
                <w:sz w:val="17"/>
              </w:rPr>
              <w:t>≥ 92 %</w:t>
            </w:r>
          </w:p>
        </w:tc>
      </w:tr>
      <w:tr>
        <w:tc>
          <w:tcPr>
            <w:tcW w:type="dxa" w:w="1701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2</w:t>
            </w:r>
          </w:p>
        </w:tc>
        <w:tc>
          <w:tcPr>
            <w:tcW w:type="dxa" w:w="2268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49–54</w:t>
            </w:r>
          </w:p>
        </w:tc>
        <w:tc>
          <w:tcPr>
            <w:tcW w:type="dxa" w:w="2268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≥ 81 %</w:t>
            </w:r>
          </w:p>
        </w:tc>
      </w:tr>
      <w:tr>
        <w:tc>
          <w:tcPr>
            <w:tcW w:type="dxa" w:w="1701"/>
            <w:vAlign w:val="center"/>
          </w:tcPr>
          <w:p>
            <w:r/>
            <w:r>
              <w:rPr>
                <w:b w:val="0"/>
                <w:sz w:val="17"/>
              </w:rPr>
              <w:t>3</w:t>
            </w:r>
          </w:p>
        </w:tc>
        <w:tc>
          <w:tcPr>
            <w:tcW w:type="dxa" w:w="2268"/>
            <w:vAlign w:val="center"/>
          </w:tcPr>
          <w:p>
            <w:r/>
            <w:r>
              <w:rPr>
                <w:b w:val="0"/>
                <w:sz w:val="17"/>
              </w:rPr>
              <w:t>40–48</w:t>
            </w:r>
          </w:p>
        </w:tc>
        <w:tc>
          <w:tcPr>
            <w:tcW w:type="dxa" w:w="2268"/>
            <w:vAlign w:val="center"/>
          </w:tcPr>
          <w:p>
            <w:r/>
            <w:r>
              <w:rPr>
                <w:b w:val="0"/>
                <w:sz w:val="17"/>
              </w:rPr>
              <w:t>≥ 67 %</w:t>
            </w:r>
          </w:p>
        </w:tc>
      </w:tr>
      <w:tr>
        <w:tc>
          <w:tcPr>
            <w:tcW w:type="dxa" w:w="1701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4</w:t>
            </w:r>
          </w:p>
        </w:tc>
        <w:tc>
          <w:tcPr>
            <w:tcW w:type="dxa" w:w="2268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30–39</w:t>
            </w:r>
          </w:p>
        </w:tc>
        <w:tc>
          <w:tcPr>
            <w:tcW w:type="dxa" w:w="2268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≥ 50 %</w:t>
            </w:r>
          </w:p>
        </w:tc>
      </w:tr>
      <w:tr>
        <w:tc>
          <w:tcPr>
            <w:tcW w:type="dxa" w:w="1701"/>
            <w:vAlign w:val="center"/>
          </w:tcPr>
          <w:p>
            <w:r/>
            <w:r>
              <w:rPr>
                <w:b w:val="0"/>
                <w:sz w:val="17"/>
              </w:rPr>
              <w:t>5</w:t>
            </w:r>
          </w:p>
        </w:tc>
        <w:tc>
          <w:tcPr>
            <w:tcW w:type="dxa" w:w="2268"/>
            <w:vAlign w:val="center"/>
          </w:tcPr>
          <w:p>
            <w:r/>
            <w:r>
              <w:rPr>
                <w:b w:val="0"/>
                <w:sz w:val="17"/>
              </w:rPr>
              <w:t>12–29</w:t>
            </w:r>
          </w:p>
        </w:tc>
        <w:tc>
          <w:tcPr>
            <w:tcW w:type="dxa" w:w="2268"/>
            <w:vAlign w:val="center"/>
          </w:tcPr>
          <w:p>
            <w:r/>
            <w:r>
              <w:rPr>
                <w:b w:val="0"/>
                <w:sz w:val="17"/>
              </w:rPr>
              <w:t>≥ 20 %</w:t>
            </w:r>
          </w:p>
        </w:tc>
      </w:tr>
      <w:tr>
        <w:tc>
          <w:tcPr>
            <w:tcW w:type="dxa" w:w="1701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6</w:t>
            </w:r>
          </w:p>
        </w:tc>
        <w:tc>
          <w:tcPr>
            <w:tcW w:type="dxa" w:w="2268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0–11</w:t>
            </w:r>
          </w:p>
        </w:tc>
        <w:tc>
          <w:tcPr>
            <w:tcW w:type="dxa" w:w="2268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&lt; 20 %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866"/>
      </w:tblGrid>
      <w:tr>
        <w:tc>
          <w:tcPr>
            <w:tcW w:type="dxa" w:w="9866"/>
            <w:shd w:fill="FDE8D8"/>
          </w:tcPr>
          <w:p>
            <w:r>
              <w:rPr>
                <w:b/>
                <w:color w:val="176E65"/>
              </w:rPr>
              <w:t xml:space="preserve">Korrektur: </w:t>
            </w:r>
            <w:r>
              <w:t>Fachlich stimmige Varianten zulassen; Folgefehler nur einmal werten. Gestaltung nicht bewerten, solange das Modell lesbar ist.</w:t>
            </w:r>
          </w:p>
        </w:tc>
        <w:trPr>
          <w:tblHeader/>
        </w:trPr>
      </w:tr>
    </w:tbl>
    <w:p/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020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6E65"/>
      <w:spacing w:val="5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