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Materialcheck Geschäftsprozessmodellierung</w:t>
      </w:r>
    </w:p>
    <w:p>
      <w:r>
        <w:rPr>
          <w:b/>
        </w:rPr>
        <w:t>BKWI1 Finalfassung v1.0</w:t>
      </w:r>
    </w:p>
    <w:p>
      <w:r>
        <w:t>Der Materialcheck bestätigt die vollständige Offline-Bearbeitbarkeit des Pflichtwegs GPM-K01-A01 bis GPM-K09-A01. Schüler-, Lehrkraft- und Gesamtpaket sind fachlich getrennt, inhaltlich synchron und technisch lesbar.</w:t>
      </w:r>
    </w:p>
    <w:p>
      <w:pPr>
        <w:pStyle w:val="Heading1"/>
      </w:pPr>
      <w:r>
        <w:t>Freigabe</w:t>
      </w:r>
    </w:p>
    <w:p>
      <w:r>
        <w:rPr>
          <w:b/>
          <w:color w:val="1F6B4A"/>
        </w:rPr>
        <w:t>Status: BESTANDEN</w:t>
      </w:r>
    </w:p>
    <w:p>
      <w:r>
        <w:t>Alle 23 automatisierten Materialprüfungen wurden bestanden. Die normalen A4- und A5-PDFs wurden zusätzlich in die Unterrichtspakete aufgenommen. Jedes Paket besitzt einen eindeutigen Start- beziehungsweise Offlinehinweis.</w:t>
      </w:r>
    </w:p>
    <w:p>
      <w:pPr>
        <w:pStyle w:val="Heading1"/>
      </w:pPr>
      <w:r>
        <w:t>Prüfmatrix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3289"/>
        <w:gridCol w:w="3289"/>
        <w:gridCol w:w="3289"/>
      </w:tblGrid>
      <w:tr>
        <w:trPr>
          <w:tblHeader/>
          <w:cantSplit/>
        </w:trPr>
        <w:tc>
          <w:tcPr>
            <w:tcW w:type="dxa" w:w="3742"/>
            <w:shd w:fill="CFEFE8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r>
              <w:rPr>
                <w:b/>
                <w:color w:val="000000"/>
              </w:rPr>
              <w:t>Prüfpunkt</w:t>
            </w:r>
          </w:p>
        </w:tc>
        <w:tc>
          <w:tcPr>
            <w:tcW w:type="dxa" w:w="1474"/>
            <w:shd w:fill="CFEFE8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r>
              <w:rPr>
                <w:b/>
                <w:color w:val="000000"/>
              </w:rPr>
              <w:t>Status</w:t>
            </w:r>
          </w:p>
        </w:tc>
        <w:tc>
          <w:tcPr>
            <w:tcW w:type="dxa" w:w="4422"/>
            <w:shd w:fill="CFEFE8"/>
            <w:tcMar>
              <w:top w:w="100" w:type="dxa"/>
              <w:start w:w="120" w:type="dxa"/>
              <w:bottom w:w="100" w:type="dxa"/>
              <w:end w:w="120" w:type="dxa"/>
            </w:tcMar>
            <w:vAlign w:val="center"/>
          </w:tcPr>
          <w:p>
            <w:r>
              <w:rPr>
                <w:b/>
                <w:color w:val="000000"/>
              </w:rPr>
              <w:t>Beleg</w:t>
            </w:r>
          </w:p>
        </w:tc>
      </w:tr>
      <w:tr>
        <w:trPr>
          <w:cantSplit/>
        </w:trPr>
        <w:tc>
          <w:tcPr>
            <w:tcW w:type="dxa" w:w="374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t>Schülerausgaben A4 A5 interaktiv Blätterbuch</w:t>
            </w:r>
          </w:p>
        </w:tc>
        <w:tc>
          <w:tcPr>
            <w:tcW w:type="dxa" w:w="1474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b/>
              </w:rPr>
              <w:t>bestanden</w:t>
            </w:r>
          </w:p>
        </w:tc>
        <w:tc>
          <w:tcPr>
            <w:tcW w:type="dxa" w:w="442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t>vollständig</w:t>
            </w:r>
          </w:p>
        </w:tc>
      </w:tr>
      <w:tr>
        <w:trPr>
          <w:cantSplit/>
        </w:trPr>
        <w:tc>
          <w:tcPr>
            <w:tcW w:type="dxa" w:w="374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5FAF8"/>
          </w:tcPr>
          <w:p>
            <w:r>
              <w:t>Materialzuordnung GPM-K01-A01 bis GPM-K09-A01</w:t>
            </w:r>
          </w:p>
        </w:tc>
        <w:tc>
          <w:tcPr>
            <w:tcW w:type="dxa" w:w="1474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5FAF8"/>
          </w:tcPr>
          <w:p>
            <w:pPr>
              <w:jc w:val="center"/>
            </w:pPr>
            <w:r>
              <w:rPr>
                <w:b/>
              </w:rPr>
              <w:t>bestanden</w:t>
            </w:r>
          </w:p>
        </w:tc>
        <w:tc>
          <w:tcPr>
            <w:tcW w:type="dxa" w:w="442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5FAF8"/>
          </w:tcPr>
          <w:p>
            <w:r>
              <w:t>9/9 Ausgangsdateien und Lösungen zugeordnet</w:t>
            </w:r>
          </w:p>
        </w:tc>
      </w:tr>
      <w:tr>
        <w:trPr>
          <w:cantSplit/>
        </w:trPr>
        <w:tc>
          <w:tcPr>
            <w:tcW w:type="dxa" w:w="374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t>Fälle Testmaterial Prüflisten und UI-Ausgangslagen</w:t>
            </w:r>
          </w:p>
        </w:tc>
        <w:tc>
          <w:tcPr>
            <w:tcW w:type="dxa" w:w="1474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b/>
              </w:rPr>
              <w:t>bestanden</w:t>
            </w:r>
          </w:p>
        </w:tc>
        <w:tc>
          <w:tcPr>
            <w:tcW w:type="dxa" w:w="442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t>vollständig</w:t>
            </w:r>
          </w:p>
        </w:tc>
      </w:tr>
      <w:tr>
        <w:trPr>
          <w:cantSplit/>
        </w:trPr>
        <w:tc>
          <w:tcPr>
            <w:tcW w:type="dxa" w:w="374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5FAF8"/>
          </w:tcPr>
          <w:p>
            <w:r>
              <w:t>Optionale Mockup-Vertiefung</w:t>
            </w:r>
          </w:p>
        </w:tc>
        <w:tc>
          <w:tcPr>
            <w:tcW w:type="dxa" w:w="1474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5FAF8"/>
          </w:tcPr>
          <w:p>
            <w:pPr>
              <w:jc w:val="center"/>
            </w:pPr>
            <w:r>
              <w:rPr>
                <w:b/>
              </w:rPr>
              <w:t>bestanden</w:t>
            </w:r>
          </w:p>
        </w:tc>
        <w:tc>
          <w:tcPr>
            <w:tcW w:type="dxa" w:w="442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5FAF8"/>
          </w:tcPr>
          <w:p>
            <w:r>
              <w:t>vollständig</w:t>
            </w:r>
          </w:p>
        </w:tc>
      </w:tr>
      <w:tr>
        <w:trPr>
          <w:cantSplit/>
        </w:trPr>
        <w:tc>
          <w:tcPr>
            <w:tcW w:type="dxa" w:w="374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t>Lehrkraftband Klassenarbeit Lösung Bewertung Variante Finalcheck</w:t>
            </w:r>
          </w:p>
        </w:tc>
        <w:tc>
          <w:tcPr>
            <w:tcW w:type="dxa" w:w="1474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b/>
              </w:rPr>
              <w:t>bestanden</w:t>
            </w:r>
          </w:p>
        </w:tc>
        <w:tc>
          <w:tcPr>
            <w:tcW w:type="dxa" w:w="442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t>vollständig</w:t>
            </w:r>
          </w:p>
        </w:tc>
      </w:tr>
      <w:tr>
        <w:trPr>
          <w:cantSplit/>
        </w:trPr>
        <w:tc>
          <w:tcPr>
            <w:tcW w:type="dxa" w:w="374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5FAF8"/>
          </w:tcPr>
          <w:p>
            <w:r>
              <w:t>Rollentrennung Schülerpaket</w:t>
            </w:r>
          </w:p>
        </w:tc>
        <w:tc>
          <w:tcPr>
            <w:tcW w:type="dxa" w:w="1474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5FAF8"/>
          </w:tcPr>
          <w:p>
            <w:pPr>
              <w:jc w:val="center"/>
            </w:pPr>
            <w:r>
              <w:rPr>
                <w:b/>
              </w:rPr>
              <w:t>bestanden</w:t>
            </w:r>
          </w:p>
        </w:tc>
        <w:tc>
          <w:tcPr>
            <w:tcW w:type="dxa" w:w="442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5FAF8"/>
          </w:tcPr>
          <w:p>
            <w:r>
              <w:t>keine Lehrkraftdateien</w:t>
            </w:r>
          </w:p>
        </w:tc>
      </w:tr>
      <w:tr>
        <w:trPr>
          <w:cantSplit/>
        </w:trPr>
        <w:tc>
          <w:tcPr>
            <w:tcW w:type="dxa" w:w="374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t>Schülermaterial im Lehrkraftpaket synchron</w:t>
            </w:r>
          </w:p>
        </w:tc>
        <w:tc>
          <w:tcPr>
            <w:tcW w:type="dxa" w:w="1474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b/>
              </w:rPr>
              <w:t>bestanden</w:t>
            </w:r>
          </w:p>
        </w:tc>
        <w:tc>
          <w:tcPr>
            <w:tcW w:type="dxa" w:w="442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t>identisch</w:t>
            </w:r>
          </w:p>
        </w:tc>
      </w:tr>
      <w:tr>
        <w:trPr>
          <w:cantSplit/>
        </w:trPr>
        <w:tc>
          <w:tcPr>
            <w:tcW w:type="dxa" w:w="374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5FAF8"/>
          </w:tcPr>
          <w:p>
            <w:r>
              <w:t>Schülerbereich im Gesamtpaket synchron</w:t>
            </w:r>
          </w:p>
        </w:tc>
        <w:tc>
          <w:tcPr>
            <w:tcW w:type="dxa" w:w="1474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5FAF8"/>
          </w:tcPr>
          <w:p>
            <w:pPr>
              <w:jc w:val="center"/>
            </w:pPr>
            <w:r>
              <w:rPr>
                <w:b/>
              </w:rPr>
              <w:t>bestanden</w:t>
            </w:r>
          </w:p>
        </w:tc>
        <w:tc>
          <w:tcPr>
            <w:tcW w:type="dxa" w:w="442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5FAF8"/>
          </w:tcPr>
          <w:p>
            <w:r>
              <w:t>identisch</w:t>
            </w:r>
          </w:p>
        </w:tc>
      </w:tr>
      <w:tr>
        <w:trPr>
          <w:cantSplit/>
        </w:trPr>
        <w:tc>
          <w:tcPr>
            <w:tcW w:type="dxa" w:w="374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t>Lehrkraftbereich im Gesamtpaket synchron</w:t>
            </w:r>
          </w:p>
        </w:tc>
        <w:tc>
          <w:tcPr>
            <w:tcW w:type="dxa" w:w="1474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b/>
              </w:rPr>
              <w:t>bestanden</w:t>
            </w:r>
          </w:p>
        </w:tc>
        <w:tc>
          <w:tcPr>
            <w:tcW w:type="dxa" w:w="442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t>identisch</w:t>
            </w:r>
          </w:p>
        </w:tc>
      </w:tr>
      <w:tr>
        <w:trPr>
          <w:cantSplit/>
        </w:trPr>
        <w:tc>
          <w:tcPr>
            <w:tcW w:type="dxa" w:w="374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5FAF8"/>
          </w:tcPr>
          <w:p>
            <w:r>
              <w:t>Bearbeitbare Word-Dateien technisch lesbar</w:t>
            </w:r>
          </w:p>
        </w:tc>
        <w:tc>
          <w:tcPr>
            <w:tcW w:type="dxa" w:w="1474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5FAF8"/>
          </w:tcPr>
          <w:p>
            <w:pPr>
              <w:jc w:val="center"/>
            </w:pPr>
            <w:r>
              <w:rPr>
                <w:b/>
              </w:rPr>
              <w:t>bestanden</w:t>
            </w:r>
          </w:p>
        </w:tc>
        <w:tc>
          <w:tcPr>
            <w:tcW w:type="dxa" w:w="442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5FAF8"/>
          </w:tcPr>
          <w:p>
            <w:r>
              <w:t>25 Dateien geprüft</w:t>
            </w:r>
          </w:p>
        </w:tc>
      </w:tr>
      <w:tr>
        <w:trPr>
          <w:cantSplit/>
        </w:trPr>
        <w:tc>
          <w:tcPr>
            <w:tcW w:type="dxa" w:w="374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t>draw.io-Dateien technisch lesbar</w:t>
            </w:r>
          </w:p>
        </w:tc>
        <w:tc>
          <w:tcPr>
            <w:tcW w:type="dxa" w:w="1474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b/>
              </w:rPr>
              <w:t>bestanden</w:t>
            </w:r>
          </w:p>
        </w:tc>
        <w:tc>
          <w:tcPr>
            <w:tcW w:type="dxa" w:w="442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t>XML-Struktur gültig</w:t>
            </w:r>
          </w:p>
        </w:tc>
      </w:tr>
      <w:tr>
        <w:trPr>
          <w:cantSplit/>
        </w:trPr>
        <w:tc>
          <w:tcPr>
            <w:tcW w:type="dxa" w:w="374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5FAF8"/>
          </w:tcPr>
          <w:p>
            <w:r>
              <w:t>PDF-Dateien technisch lesbar</w:t>
            </w:r>
          </w:p>
        </w:tc>
        <w:tc>
          <w:tcPr>
            <w:tcW w:type="dxa" w:w="1474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5FAF8"/>
          </w:tcPr>
          <w:p>
            <w:pPr>
              <w:jc w:val="center"/>
            </w:pPr>
            <w:r>
              <w:rPr>
                <w:b/>
              </w:rPr>
              <w:t>bestanden</w:t>
            </w:r>
          </w:p>
        </w:tc>
        <w:tc>
          <w:tcPr>
            <w:tcW w:type="dxa" w:w="442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5FAF8"/>
          </w:tcPr>
          <w:p>
            <w:r>
              <w:t>36 Dateien geprüft</w:t>
            </w:r>
          </w:p>
        </w:tc>
      </w:tr>
      <w:tr>
        <w:trPr>
          <w:cantSplit/>
        </w:trPr>
        <w:tc>
          <w:tcPr>
            <w:tcW w:type="dxa" w:w="374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t>Interaktive Oberflächenfälle offline nutzbar</w:t>
            </w:r>
          </w:p>
        </w:tc>
        <w:tc>
          <w:tcPr>
            <w:tcW w:type="dxa" w:w="1474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b/>
              </w:rPr>
              <w:t>bestanden</w:t>
            </w:r>
          </w:p>
        </w:tc>
        <w:tc>
          <w:tcPr>
            <w:tcW w:type="dxa" w:w="442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t>keine externen src-/href-Abhängigkeiten</w:t>
            </w:r>
          </w:p>
        </w:tc>
      </w:tr>
      <w:tr>
        <w:trPr>
          <w:cantSplit/>
        </w:trPr>
        <w:tc>
          <w:tcPr>
            <w:tcW w:type="dxa" w:w="374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5FAF8"/>
          </w:tcPr>
          <w:p>
            <w:r>
              <w:t>Start- und Offlinehinweise</w:t>
            </w:r>
          </w:p>
        </w:tc>
        <w:tc>
          <w:tcPr>
            <w:tcW w:type="dxa" w:w="1474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5FAF8"/>
          </w:tcPr>
          <w:p>
            <w:pPr>
              <w:jc w:val="center"/>
            </w:pPr>
            <w:r>
              <w:rPr>
                <w:b/>
              </w:rPr>
              <w:t>bestanden</w:t>
            </w:r>
          </w:p>
        </w:tc>
        <w:tc>
          <w:tcPr>
            <w:tcW w:type="dxa" w:w="442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5FAF8"/>
          </w:tcPr>
          <w:p>
            <w:r>
              <w:t>vollständig</w:t>
            </w:r>
          </w:p>
        </w:tc>
      </w:tr>
      <w:tr>
        <w:trPr>
          <w:cantSplit/>
        </w:trPr>
        <w:tc>
          <w:tcPr>
            <w:tcW w:type="dxa" w:w="374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t>Materialmanifest deckt alle Aufgaben-IDs ab</w:t>
            </w:r>
          </w:p>
        </w:tc>
        <w:tc>
          <w:tcPr>
            <w:tcW w:type="dxa" w:w="1474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jc w:val="center"/>
            </w:pPr>
            <w:r>
              <w:rPr>
                <w:b/>
              </w:rPr>
              <w:t>bestanden</w:t>
            </w:r>
          </w:p>
        </w:tc>
        <w:tc>
          <w:tcPr>
            <w:tcW w:type="dxa" w:w="4422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t>GPM-K01-A01, GPM-K02-A01, GPM-K03-A01, GPM-K04-A01, GPM-K05-A01, GPM-K06-A01, GPM-K07-A01, GPM-K08-A01, GPM-K09-A01, GPM-M01-A01</w:t>
            </w:r>
          </w:p>
        </w:tc>
      </w:tr>
    </w:tbl>
    <w:p>
      <w:pPr>
        <w:pStyle w:val="Heading1"/>
      </w:pPr>
      <w:r>
        <w:t>Pakettrennung</w:t>
      </w:r>
    </w:p>
    <w:p>
      <w:r>
        <w:t>Schülerpaket: Skriptfassungen, Start- und Offlinehinweise, alle bearbeitbaren Ausgangsdateien, Fälle, Prüflisten und Testmaterialien. Es enthält keine Lösungen, Punkte, Erwartungshorizonte oder internen Korrekturhinweise.</w:t>
      </w:r>
    </w:p>
    <w:p>
      <w:r>
        <w:t>Lehrkraftpaket: vollständige Masterausgaben, Lehrkraftband, Einzellösungen, Musterklassenarbeit, Musterlösung, Erwartungshorizont, Punkteschlüssel, Variantenvorlage, Materialmanifest und Prüfprotokolle.</w:t>
      </w:r>
    </w:p>
    <w:p>
      <w:r>
        <w:t>Gesamtpaket: getrennte Bereiche für Schüler und Lehrkraft sowie Masterausgaben und eine oberste START_HIER-Datei.</w:t>
      </w:r>
    </w:p>
    <w:p>
      <w:pPr>
        <w:pStyle w:val="Heading1"/>
      </w:pPr>
      <w:r>
        <w:t>Offline-Freigabe</w:t>
      </w:r>
    </w:p>
    <w:p>
      <w:r>
        <w:t>Die Pflichtaufgaben benötigen weder GitHub noch einen KI-Zugang. Die interaktiven Oberflächenfälle besitzen keine externen Dateiabhängigkeiten. Word-, PDF- und draw.io-Dateien wurden technisch geöffnet beziehungsweise strukturell geprüft.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020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/>
      <w:color w:val="000000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Materialcheck Geschäftsprozessmodellierung v1.0</dc:title>
  <dc:subject>Unterrichtsskript im einheitlichen EDUCODE LAB Serienmaster R4</dc:subject>
  <dc:creator>Christine Janischek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