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680" w:after="140"/>
        <w:jc w:val="center"/>
      </w:pPr>
      <w:r>
        <w:drawing>
          <wp:inline xmlns:a="http://schemas.openxmlformats.org/drawingml/2006/main" xmlns:pic="http://schemas.openxmlformats.org/drawingml/2006/picture">
            <wp:extent cx="3600000" cy="1200000"/>
            <wp:docPr id="3" name="Picture 3" descr="Fünf farbige Kreise als serielles Erkennungszeichen der Lernskriptreihe" title="Fünf farbige Kreise als serielles Erkennungszeichen der Lernskriptreihe"/>
            <wp:cNvGraphicFramePr>
              <a:graphicFrameLocks noChangeAspect="1"/>
            </wp:cNvGraphicFramePr>
            <a:graphic>
              <a:graphicData uri="http://schemas.openxmlformats.org/drawingml/2006/picture">
                <pic:pic>
                  <pic:nvPicPr>
                    <pic:cNvPr id="0" name="image.png"/>
                    <pic:cNvPicPr/>
                  </pic:nvPicPr>
                  <pic:blipFill>
                    <a:blip r:embed="rId11"/>
                    <a:stretch>
                      <a:fillRect/>
                    </a:stretch>
                  </pic:blipFill>
                  <pic:spPr>
                    <a:xfrm>
                      <a:off x="0" y="0"/>
                      <a:ext cx="3600000" cy="1200000"/>
                    </a:xfrm>
                    <a:prstGeom prst="rect"/>
                  </pic:spPr>
                </pic:pic>
              </a:graphicData>
            </a:graphic>
          </wp:inline>
        </w:drawing>
      </w:r>
    </w:p>
    <w:p>
      <w:pPr>
        <w:spacing w:after="160"/>
        <w:jc w:val="center"/>
      </w:pPr>
      <w:r>
        <w:rPr>
          <w:rFonts w:ascii="Aptos Display" w:hAnsi="Aptos Display"/>
          <w:b/>
          <w:i w:val="0"/>
          <w:color w:val="17324D"/>
          <w:sz w:val="38"/>
        </w:rPr>
        <w:t>Mit einem KI Lernagenten</w:t>
        <w:br/>
        <w:t>lernen</w:t>
      </w:r>
    </w:p>
    <w:p>
      <w:pPr>
        <w:spacing w:after="240"/>
        <w:jc w:val="center"/>
      </w:pPr>
      <w:r>
        <w:rPr>
          <w:rFonts w:ascii="Aptos Display" w:hAnsi="Aptos Display"/>
          <w:b/>
          <w:i w:val="0"/>
          <w:color w:val="007C83"/>
          <w:sz w:val="21"/>
        </w:rPr>
        <w:t>Fragen stellen Antworten prüfen Verantwortung übernehmen</w:t>
      </w:r>
    </w:p>
    <w:p>
      <w:pPr>
        <w:spacing w:before="180" w:after="140"/>
        <w:jc w:val="center"/>
      </w:pPr>
      <w:r>
        <w:rPr>
          <w:rFonts w:ascii="Aptos Display" w:hAnsi="Aptos Display"/>
          <w:b/>
          <w:i w:val="0"/>
          <w:color w:val="267365"/>
          <w:sz w:val="19"/>
        </w:rPr>
        <w:t>selbst versuchen · gestufte Hilfe nutzen · Ergebnisse prüfen</w:t>
      </w:r>
    </w:p>
    <w:p>
      <w:pPr>
        <w:spacing w:after="120"/>
        <w:jc w:val="center"/>
      </w:pPr>
      <w:r>
        <w:rPr>
          <w:rFonts w:ascii="Aptos" w:hAnsi="Aptos"/>
          <w:b w:val="0"/>
          <w:i w:val="0"/>
          <w:color w:val="78909C"/>
          <w:sz w:val="16"/>
        </w:rPr>
        <w:t>Sekundarstufe II · Berufskolleg · berufliches Gymnasium</w:t>
        <w:br/>
        <w:t>Didaktisch erweiterte Kursfassung · A5 · Schuljahr 2026/2027 · v1.0 · Serienmaster R7</w:t>
      </w:r>
    </w:p>
    <w:p>
      <w:pPr>
        <w:spacing w:before="80" w:after="60"/>
        <w:jc w:val="center"/>
      </w:pPr>
      <w:r>
        <w:rPr>
          <w:rFonts w:ascii="Aptos" w:hAnsi="Aptos"/>
          <w:b/>
          <w:i w:val="0"/>
          <w:color w:val="267365"/>
          <w:sz w:val="15"/>
        </w:rPr>
        <w:t>Christine Janischek · Lizenz Custom License NC School-Only 1.0 · emotionalspirit.de</w:t>
      </w:r>
    </w:p>
    <w:p>
      <w:pPr>
        <w:jc w:val="center"/>
      </w:pPr>
      <w:r>
        <w:rPr>
          <w:rFonts w:ascii="Aptos" w:hAnsi="Aptos"/>
          <w:b w:val="0"/>
          <w:i/>
          <w:color w:val="78909C"/>
          <w:sz w:val="14"/>
        </w:rPr>
        <w:t>Dieses Lernskript wurde mit Unterstützung einer KI erstellt und anschließend redaktionell geprüft. Trotz sorgfältiger Bearbeitung können Fehler enthalten sein. Bitte melde Fehler und Verbesserungsvorschläge über die angegebene Kontaktmöglichkeit.</w:t>
      </w:r>
    </w:p>
    <w:p>
      <w:pPr>
        <w:pStyle w:val="Heading1"/>
        <w:widowControl/>
      </w:pPr>
      <w:bookmarkStart w:id="12" w:name="inhalt"/>
      <w:bookmarkEnd w:id="12"/>
      <w:r>
        <w:t>Inhaltsverzeichnis</w:t>
      </w:r>
    </w:p>
    <w:p>
      <w:pPr>
        <w:widowControl/>
      </w:pPr>
      <w:r>
        <w:t>Die Einträge führen direkt zu den Kapiteln und Hauptabschnitten. In den Überschriften bringt dich „↩ Inhalt“ hierher zurück.</w:t>
      </w:r>
    </w:p>
    <w:p>
      <w:pPr>
        <w:widowControl/>
        <w:spacing w:after="140"/>
      </w:pPr>
      <w:hyperlink w:anchor="toc_sec_001" w:history="1">
        <w:r>
          <w:rPr>
            <w:rFonts w:ascii="Aptos" w:hAnsi="Aptos"/>
            <w:b/>
            <w:i w:val="0"/>
            <w:color w:val="007C83"/>
            <w:sz w:val="20"/>
            <w:szCs w:val="20"/>
          </w:rPr>
          <w:t xml:space="preserve">01  </w:t>
        </w:r>
        <w:r>
          <w:rPr>
            <w:rFonts w:ascii="Aptos" w:hAnsi="Aptos"/>
            <w:b/>
            <w:i w:val="0"/>
            <w:color w:val="263238"/>
            <w:sz w:val="18"/>
            <w:szCs w:val="18"/>
          </w:rPr>
          <w:t>Lernziel und Verantwortung</w:t>
        </w:r>
      </w:hyperlink>
    </w:p>
    <w:p>
      <w:pPr>
        <w:widowControl/>
        <w:spacing w:after="140"/>
      </w:pPr>
      <w:hyperlink w:anchor="toc_sec_002" w:history="1">
        <w:r>
          <w:rPr>
            <w:rFonts w:ascii="Aptos" w:hAnsi="Aptos"/>
            <w:b/>
            <w:i w:val="0"/>
            <w:color w:val="007C83"/>
            <w:sz w:val="20"/>
            <w:szCs w:val="20"/>
          </w:rPr>
          <w:t xml:space="preserve">02  </w:t>
        </w:r>
        <w:r>
          <w:rPr>
            <w:rFonts w:ascii="Aptos" w:hAnsi="Aptos"/>
            <w:b/>
            <w:i w:val="0"/>
            <w:color w:val="263238"/>
            <w:sz w:val="18"/>
            <w:szCs w:val="18"/>
          </w:rPr>
          <w:t>Gute Startprompts</w:t>
        </w:r>
      </w:hyperlink>
    </w:p>
    <w:p>
      <w:pPr>
        <w:widowControl/>
        <w:spacing w:after="140"/>
      </w:pPr>
      <w:hyperlink w:anchor="toc_sec_003" w:history="1">
        <w:r>
          <w:rPr>
            <w:rFonts w:ascii="Aptos" w:hAnsi="Aptos"/>
            <w:b/>
            <w:i w:val="0"/>
            <w:color w:val="007C83"/>
            <w:sz w:val="20"/>
            <w:szCs w:val="20"/>
          </w:rPr>
          <w:t xml:space="preserve">03  </w:t>
        </w:r>
        <w:r>
          <w:rPr>
            <w:rFonts w:ascii="Aptos" w:hAnsi="Aptos"/>
            <w:b/>
            <w:i w:val="0"/>
            <w:color w:val="263238"/>
            <w:sz w:val="18"/>
            <w:szCs w:val="18"/>
          </w:rPr>
          <w:t>Rückfragen und Hilfestufen</w:t>
        </w:r>
      </w:hyperlink>
    </w:p>
    <w:p>
      <w:pPr>
        <w:widowControl/>
        <w:spacing w:after="140"/>
      </w:pPr>
      <w:hyperlink w:anchor="toc_sec_004" w:history="1">
        <w:r>
          <w:rPr>
            <w:rFonts w:ascii="Aptos" w:hAnsi="Aptos"/>
            <w:b/>
            <w:i w:val="0"/>
            <w:color w:val="007C83"/>
            <w:sz w:val="20"/>
            <w:szCs w:val="20"/>
          </w:rPr>
          <w:t xml:space="preserve">04  </w:t>
        </w:r>
        <w:r>
          <w:rPr>
            <w:rFonts w:ascii="Aptos" w:hAnsi="Aptos"/>
            <w:b/>
            <w:i w:val="0"/>
            <w:color w:val="263238"/>
            <w:sz w:val="18"/>
            <w:szCs w:val="18"/>
          </w:rPr>
          <w:t>Antworten prüfen</w:t>
        </w:r>
      </w:hyperlink>
    </w:p>
    <w:p>
      <w:pPr>
        <w:widowControl/>
        <w:spacing w:after="140"/>
      </w:pPr>
      <w:hyperlink w:anchor="toc_sec_005" w:history="1">
        <w:r>
          <w:rPr>
            <w:rFonts w:ascii="Aptos" w:hAnsi="Aptos"/>
            <w:b/>
            <w:i w:val="0"/>
            <w:color w:val="007C83"/>
            <w:sz w:val="20"/>
            <w:szCs w:val="20"/>
          </w:rPr>
          <w:t xml:space="preserve">05  </w:t>
        </w:r>
        <w:r>
          <w:rPr>
            <w:rFonts w:ascii="Aptos" w:hAnsi="Aptos"/>
            <w:b/>
            <w:i w:val="0"/>
            <w:color w:val="263238"/>
            <w:sz w:val="18"/>
            <w:szCs w:val="18"/>
          </w:rPr>
          <w:t>Datenschutz und Urheberrecht</w:t>
        </w:r>
      </w:hyperlink>
    </w:p>
    <w:p>
      <w:pPr>
        <w:widowControl/>
        <w:spacing w:after="140"/>
      </w:pPr>
      <w:hyperlink w:anchor="toc_sec_006" w:history="1">
        <w:r>
          <w:rPr>
            <w:rFonts w:ascii="Aptos" w:hAnsi="Aptos"/>
            <w:b/>
            <w:i w:val="0"/>
            <w:color w:val="007C83"/>
            <w:sz w:val="20"/>
            <w:szCs w:val="20"/>
          </w:rPr>
          <w:t xml:space="preserve">06  </w:t>
        </w:r>
        <w:r>
          <w:rPr>
            <w:rFonts w:ascii="Aptos" w:hAnsi="Aptos"/>
            <w:b/>
            <w:i w:val="0"/>
            <w:color w:val="263238"/>
            <w:sz w:val="18"/>
            <w:szCs w:val="18"/>
          </w:rPr>
          <w:t>Fehler produktiv nutzen</w:t>
        </w:r>
      </w:hyperlink>
    </w:p>
    <w:p>
      <w:pPr>
        <w:widowControl/>
        <w:spacing w:after="140"/>
      </w:pPr>
      <w:hyperlink w:anchor="toc_sec_007" w:history="1">
        <w:r>
          <w:rPr>
            <w:rFonts w:ascii="Aptos" w:hAnsi="Aptos"/>
            <w:b/>
            <w:i w:val="0"/>
            <w:color w:val="007C83"/>
            <w:sz w:val="20"/>
            <w:szCs w:val="20"/>
          </w:rPr>
          <w:t xml:space="preserve">07  </w:t>
        </w:r>
        <w:r>
          <w:rPr>
            <w:rFonts w:ascii="Aptos" w:hAnsi="Aptos"/>
            <w:b/>
            <w:i w:val="0"/>
            <w:color w:val="263238"/>
            <w:sz w:val="18"/>
            <w:szCs w:val="18"/>
          </w:rPr>
          <w:t>Lernprodukte reflektieren</w:t>
        </w:r>
      </w:hyperlink>
    </w:p>
    <w:p>
      <w:pPr>
        <w:widowControl/>
        <w:spacing w:after="140"/>
      </w:pPr>
      <w:hyperlink w:anchor="toc_sec_008" w:history="1">
        <w:r>
          <w:rPr>
            <w:rFonts w:ascii="Aptos" w:hAnsi="Aptos"/>
            <w:b/>
            <w:i w:val="0"/>
            <w:color w:val="007C83"/>
            <w:sz w:val="20"/>
            <w:szCs w:val="20"/>
          </w:rPr>
          <w:t xml:space="preserve">08  </w:t>
        </w:r>
        <w:r>
          <w:rPr>
            <w:rFonts w:ascii="Aptos" w:hAnsi="Aptos"/>
            <w:b/>
            <w:i w:val="0"/>
            <w:color w:val="263238"/>
            <w:sz w:val="18"/>
            <w:szCs w:val="18"/>
          </w:rPr>
          <w:t>Abschluss Lernauftrag</w:t>
        </w:r>
      </w:hyperlink>
    </w:p>
    <w:p>
      <w:pPr>
        <w:widowControl/>
        <w:spacing w:after="140"/>
      </w:pPr>
      <w:hyperlink w:anchor="toc_sec_009" w:history="1">
        <w:r>
          <w:rPr>
            <w:rFonts w:ascii="Aptos" w:hAnsi="Aptos"/>
            <w:b/>
            <w:i w:val="0"/>
            <w:color w:val="007C83"/>
            <w:sz w:val="20"/>
            <w:szCs w:val="20"/>
          </w:rPr>
          <w:t xml:space="preserve">09  </w:t>
        </w:r>
        <w:r>
          <w:rPr>
            <w:rFonts w:ascii="Aptos" w:hAnsi="Aptos"/>
            <w:b/>
            <w:i w:val="0"/>
            <w:color w:val="263238"/>
            <w:sz w:val="18"/>
            <w:szCs w:val="18"/>
          </w:rPr>
          <w:t>Abschlussportfolio und Selbstcheck</w:t>
        </w:r>
      </w:hyperlink>
    </w:p>
    <w:p>
      <w:pPr>
        <w:widowControl/>
        <w:spacing w:after="140"/>
      </w:pPr>
      <w:hyperlink w:anchor="toc_sec_010" w:history="1">
        <w:r>
          <w:rPr>
            <w:rFonts w:ascii="Aptos" w:hAnsi="Aptos"/>
            <w:b/>
            <w:i w:val="0"/>
            <w:color w:val="007C83"/>
            <w:sz w:val="20"/>
            <w:szCs w:val="20"/>
          </w:rPr>
          <w:t xml:space="preserve">10  </w:t>
        </w:r>
        <w:r>
          <w:rPr>
            <w:rFonts w:ascii="Aptos" w:hAnsi="Aptos"/>
            <w:b/>
            <w:i w:val="0"/>
            <w:color w:val="263238"/>
            <w:sz w:val="18"/>
            <w:szCs w:val="18"/>
          </w:rPr>
          <w:t>Quellen und Lizenz</w:t>
        </w:r>
      </w:hyperlink>
    </w:p>
    <w:p/>
    <w:p>
      <w:pPr>
        <w:pStyle w:val="Heading1"/>
      </w:pPr>
      <w:r>
        <w:t>So arbeitest du mit diesem Skript</w:t>
      </w:r>
    </w:p>
    <w:p>
      <w:r>
        <w:t>Jedes Modul beginnt mit einer konkreten Situation. Bearbeite zuerst den eigenen Versuch, nutze Hilfen stufenweise und prüfe dein Ergebnis. Pflichtaufgaben bilden den Kernpfad; Vertiefungen sind für schnelles Arbeiten oder zusätzliche Unterrichtszeit gedacht.</w:t>
      </w:r>
    </w:p>
    <w:p>
      <w:r>
        <w:t>Lizenz und Transparenz: Sofern nicht anders angegeben, gilt CC BY-SA 4.0. Das Skript wurde mit KI-Unterstützung erstellt und redaktionell geprüft; Fehler und Verbesserungsvorschläge bitte an Christine Janischek melden.</w:t>
      </w:r>
    </w:p>
    <w:tbl>
      <w:tblPr>
        <w:tblW w:type="auto" w:w="0"/>
        <w:jc w:val="center"/>
        <w:tblLook w:firstColumn="1" w:firstRow="1" w:lastColumn="0" w:lastRow="0" w:noHBand="0" w:noVBand="1" w:val="04A0"/>
      </w:tblPr>
      <w:tblGrid>
        <w:gridCol w:w="6861"/>
      </w:tblGrid>
      <w:tr>
        <w:tc>
          <w:tcPr>
            <w:tcW w:type="dxa" w:w="6861"/>
            <w:shd w:fill="FFF2CC"/>
            <w:tcBorders>
              <w:top w:val="single" w:sz="8" w:color="267365"/>
              <w:left w:val="single" w:sz="8" w:color="267365"/>
              <w:bottom w:val="single" w:sz="8" w:color="267365"/>
              <w:right w:val="single" w:sz="8" w:color="267365"/>
            </w:tcBorders>
            <w:vAlign w:val="center"/>
          </w:tcPr>
          <w:p>
            <w:r>
              <w:rPr>
                <w:b/>
                <w:color w:val="267365"/>
              </w:rPr>
              <w:t xml:space="preserve">ARBEITSREGEL  </w:t>
            </w:r>
            <w:r>
              <w:t>Ich beschreibe zuerst meinen eigenen Versuch. Ich fordere einen Hinweis an, prüfe Vorschläge und erkläre meinen Lösungsweg.</w:t>
            </w:r>
          </w:p>
        </w:tc>
      </w:tr>
    </w:tbl>
    <w:p/>
    <w:p>
      <w:pPr>
        <w:pStyle w:val="Heading2"/>
      </w:pPr>
      <w:r>
        <w:t>Zeit und Lernweg</w:t>
      </w:r>
    </w:p>
    <w:tbl>
      <w:tblPr>
        <w:tblStyle w:val="TableGrid"/>
        <w:tblW w:type="auto" w:w="0"/>
        <w:jc w:val="center"/>
        <w:tblLook w:firstColumn="1" w:firstRow="1" w:lastColumn="0" w:lastRow="0" w:noHBand="0" w:noVBand="1" w:val="04A0"/>
      </w:tblPr>
      <w:tblGrid>
        <w:gridCol w:w="2287"/>
        <w:gridCol w:w="2287"/>
        <w:gridCol w:w="2287"/>
      </w:tblGrid>
      <w:tr>
        <w:trPr>
          <w:tblHeader w:val="true"/>
        </w:trPr>
        <w:tc>
          <w:tcPr>
            <w:tcW w:type="dxa" w:w="2287"/>
            <w:shd w:fill="263238"/>
            <w:tcBorders>
              <w:top w:val="single" w:sz="8" w:color="263238"/>
              <w:left w:val="single" w:sz="8" w:color="263238"/>
              <w:bottom w:val="single" w:sz="8" w:color="263238"/>
              <w:right w:val="single" w:sz="8" w:color="263238"/>
            </w:tcBorders>
          </w:tcPr>
          <w:p>
            <w:r>
              <w:rPr>
                <w:b/>
                <w:color w:val="FFFFFF"/>
              </w:rPr>
              <w:t>Pfad</w:t>
            </w:r>
          </w:p>
        </w:tc>
        <w:tc>
          <w:tcPr>
            <w:tcW w:type="dxa" w:w="2287"/>
            <w:shd w:fill="263238"/>
            <w:tcBorders>
              <w:top w:val="single" w:sz="8" w:color="263238"/>
              <w:left w:val="single" w:sz="8" w:color="263238"/>
              <w:bottom w:val="single" w:sz="8" w:color="263238"/>
              <w:right w:val="single" w:sz="8" w:color="263238"/>
            </w:tcBorders>
          </w:tcPr>
          <w:p>
            <w:r>
              <w:rPr>
                <w:b/>
                <w:color w:val="FFFFFF"/>
              </w:rPr>
              <w:t>Umfang</w:t>
            </w:r>
          </w:p>
        </w:tc>
        <w:tc>
          <w:tcPr>
            <w:tcW w:type="dxa" w:w="2287"/>
            <w:shd w:fill="263238"/>
            <w:tcBorders>
              <w:top w:val="single" w:sz="8" w:color="263238"/>
              <w:left w:val="single" w:sz="8" w:color="263238"/>
              <w:bottom w:val="single" w:sz="8" w:color="263238"/>
              <w:right w:val="single" w:sz="8" w:color="263238"/>
            </w:tcBorders>
          </w:tcPr>
          <w:p>
            <w:r>
              <w:rPr>
                <w:b/>
                <w:color w:val="FFFFFF"/>
              </w:rPr>
              <w:t>Einsatz</w:t>
            </w:r>
          </w:p>
        </w:tc>
      </w:tr>
      <w:tr>
        <w:tc>
          <w:tcPr>
            <w:tcW w:type="dxa" w:w="2287"/>
          </w:tcPr>
          <w:p>
            <w:r>
              <w:t>Kernpfad</w:t>
            </w:r>
          </w:p>
        </w:tc>
        <w:tc>
          <w:tcPr>
            <w:tcW w:type="dxa" w:w="2287"/>
          </w:tcPr>
          <w:p>
            <w:r>
              <w:t>16 Unterrichtsstunden in acht Doppelstunden</w:t>
            </w:r>
          </w:p>
        </w:tc>
        <w:tc>
          <w:tcPr>
            <w:tcW w:type="dxa" w:w="2287"/>
          </w:tcPr>
          <w:p>
            <w:r>
              <w:t>verbindliche Aufgaben und Prüfnachweise</w:t>
            </w:r>
          </w:p>
        </w:tc>
      </w:tr>
      <w:tr>
        <w:tc>
          <w:tcPr>
            <w:tcW w:type="dxa" w:w="2287"/>
          </w:tcPr>
          <w:p>
            <w:r>
              <w:t>Vertiefung</w:t>
            </w:r>
          </w:p>
        </w:tc>
        <w:tc>
          <w:tcPr>
            <w:tcW w:type="dxa" w:w="2287"/>
          </w:tcPr>
          <w:p>
            <w:r>
              <w:t>zusätzliche 1 bis 2 Stunden je Modul</w:t>
            </w:r>
          </w:p>
        </w:tc>
        <w:tc>
          <w:tcPr>
            <w:tcW w:type="dxa" w:w="2287"/>
          </w:tcPr>
          <w:p>
            <w:r>
              <w:t>schnelle Lernende oder Projektphase</w:t>
            </w:r>
          </w:p>
        </w:tc>
      </w:tr>
      <w:tr>
        <w:tc>
          <w:tcPr>
            <w:tcW w:type="dxa" w:w="2287"/>
          </w:tcPr>
          <w:p>
            <w:r>
              <w:t>BG Anpassung</w:t>
            </w:r>
          </w:p>
        </w:tc>
        <w:tc>
          <w:tcPr>
            <w:tcW w:type="dxa" w:w="2287"/>
          </w:tcPr>
          <w:p>
            <w:r>
              <w:t>ausgewählte Kernmodule</w:t>
            </w:r>
          </w:p>
        </w:tc>
        <w:tc>
          <w:tcPr>
            <w:tcW w:type="dxa" w:w="2287"/>
          </w:tcPr>
          <w:p>
            <w:r>
              <w:t>zweistündiger Unterricht mit reduziertem Projektumfang</w:t>
            </w:r>
          </w:p>
        </w:tc>
      </w:tr>
    </w:tbl>
    <w:p>
      <w:pPr>
        <w:pStyle w:val="Heading2"/>
      </w:pPr>
      <w:r>
        <w:t>Modulübersicht</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pPr>
              <w:spacing w:after="0"/>
            </w:pPr>
            <w:r>
              <w:rPr>
                <w:b/>
                <w:color w:val="FFFFFF"/>
                <w:sz w:val="16"/>
              </w:rPr>
              <w:t>ID</w:t>
            </w:r>
          </w:p>
        </w:tc>
        <w:tc>
          <w:tcPr>
            <w:tcW w:type="dxa" w:w="3430"/>
            <w:shd w:fill="263238"/>
            <w:tcBorders>
              <w:top w:val="single" w:sz="8" w:color="263238"/>
              <w:left w:val="single" w:sz="8" w:color="263238"/>
              <w:bottom w:val="single" w:sz="8" w:color="263238"/>
              <w:right w:val="single" w:sz="8" w:color="263238"/>
            </w:tcBorders>
          </w:tcPr>
          <w:p>
            <w:pPr>
              <w:spacing w:after="0"/>
            </w:pPr>
            <w:r>
              <w:rPr>
                <w:b/>
                <w:color w:val="FFFFFF"/>
                <w:sz w:val="16"/>
              </w:rPr>
              <w:t>Modul</w:t>
            </w:r>
          </w:p>
        </w:tc>
      </w:tr>
      <w:tr>
        <w:tc>
          <w:tcPr>
            <w:tcW w:type="dxa" w:w="3430"/>
          </w:tcPr>
          <w:p>
            <w:pPr>
              <w:spacing w:after="0"/>
            </w:pPr>
            <w:r>
              <w:rPr>
                <w:sz w:val="16"/>
              </w:rPr>
              <w:t>K01</w:t>
            </w:r>
          </w:p>
        </w:tc>
        <w:tc>
          <w:tcPr>
            <w:tcW w:type="dxa" w:w="3430"/>
          </w:tcPr>
          <w:p>
            <w:pPr>
              <w:spacing w:after="0"/>
            </w:pPr>
            <w:r>
              <w:rPr>
                <w:sz w:val="16"/>
              </w:rPr>
              <w:t>Lernziel und Verantwortung</w:t>
            </w:r>
          </w:p>
        </w:tc>
      </w:tr>
      <w:tr>
        <w:tc>
          <w:tcPr>
            <w:tcW w:type="dxa" w:w="3430"/>
          </w:tcPr>
          <w:p>
            <w:pPr>
              <w:spacing w:after="0"/>
            </w:pPr>
            <w:r>
              <w:rPr>
                <w:sz w:val="16"/>
              </w:rPr>
              <w:t>K02</w:t>
            </w:r>
          </w:p>
        </w:tc>
        <w:tc>
          <w:tcPr>
            <w:tcW w:type="dxa" w:w="3430"/>
          </w:tcPr>
          <w:p>
            <w:pPr>
              <w:spacing w:after="0"/>
            </w:pPr>
            <w:r>
              <w:rPr>
                <w:sz w:val="16"/>
              </w:rPr>
              <w:t>Gute Startprompts</w:t>
            </w:r>
          </w:p>
        </w:tc>
      </w:tr>
      <w:tr>
        <w:tc>
          <w:tcPr>
            <w:tcW w:type="dxa" w:w="3430"/>
          </w:tcPr>
          <w:p>
            <w:pPr>
              <w:spacing w:after="0"/>
            </w:pPr>
            <w:r>
              <w:rPr>
                <w:sz w:val="16"/>
              </w:rPr>
              <w:t>K03</w:t>
            </w:r>
          </w:p>
        </w:tc>
        <w:tc>
          <w:tcPr>
            <w:tcW w:type="dxa" w:w="3430"/>
          </w:tcPr>
          <w:p>
            <w:pPr>
              <w:spacing w:after="0"/>
            </w:pPr>
            <w:r>
              <w:rPr>
                <w:sz w:val="16"/>
              </w:rPr>
              <w:t>Rückfragen und Hilfestufen</w:t>
            </w:r>
          </w:p>
        </w:tc>
      </w:tr>
      <w:tr>
        <w:tc>
          <w:tcPr>
            <w:tcW w:type="dxa" w:w="3430"/>
          </w:tcPr>
          <w:p>
            <w:pPr>
              <w:spacing w:after="0"/>
            </w:pPr>
            <w:r>
              <w:rPr>
                <w:sz w:val="16"/>
              </w:rPr>
              <w:t>K04</w:t>
            </w:r>
          </w:p>
        </w:tc>
        <w:tc>
          <w:tcPr>
            <w:tcW w:type="dxa" w:w="3430"/>
          </w:tcPr>
          <w:p>
            <w:pPr>
              <w:spacing w:after="0"/>
            </w:pPr>
            <w:r>
              <w:rPr>
                <w:sz w:val="16"/>
              </w:rPr>
              <w:t>Antworten prüfen</w:t>
            </w:r>
          </w:p>
        </w:tc>
      </w:tr>
      <w:tr>
        <w:tc>
          <w:tcPr>
            <w:tcW w:type="dxa" w:w="3430"/>
          </w:tcPr>
          <w:p>
            <w:pPr>
              <w:spacing w:after="0"/>
            </w:pPr>
            <w:r>
              <w:rPr>
                <w:sz w:val="16"/>
              </w:rPr>
              <w:t>K05</w:t>
            </w:r>
          </w:p>
        </w:tc>
        <w:tc>
          <w:tcPr>
            <w:tcW w:type="dxa" w:w="3430"/>
          </w:tcPr>
          <w:p>
            <w:pPr>
              <w:spacing w:after="0"/>
            </w:pPr>
            <w:r>
              <w:rPr>
                <w:sz w:val="16"/>
              </w:rPr>
              <w:t>Datenschutz und Urheberrecht</w:t>
            </w:r>
          </w:p>
        </w:tc>
      </w:tr>
      <w:tr>
        <w:tc>
          <w:tcPr>
            <w:tcW w:type="dxa" w:w="3430"/>
          </w:tcPr>
          <w:p>
            <w:pPr>
              <w:spacing w:after="0"/>
            </w:pPr>
            <w:r>
              <w:rPr>
                <w:sz w:val="16"/>
              </w:rPr>
              <w:t>K06</w:t>
            </w:r>
          </w:p>
        </w:tc>
        <w:tc>
          <w:tcPr>
            <w:tcW w:type="dxa" w:w="3430"/>
          </w:tcPr>
          <w:p>
            <w:pPr>
              <w:spacing w:after="0"/>
            </w:pPr>
            <w:r>
              <w:rPr>
                <w:sz w:val="16"/>
              </w:rPr>
              <w:t>Fehler produktiv nutzen</w:t>
            </w:r>
          </w:p>
        </w:tc>
      </w:tr>
      <w:tr>
        <w:tc>
          <w:tcPr>
            <w:tcW w:type="dxa" w:w="3430"/>
          </w:tcPr>
          <w:p>
            <w:pPr>
              <w:spacing w:after="0"/>
            </w:pPr>
            <w:r>
              <w:rPr>
                <w:sz w:val="16"/>
              </w:rPr>
              <w:t>K07</w:t>
            </w:r>
          </w:p>
        </w:tc>
        <w:tc>
          <w:tcPr>
            <w:tcW w:type="dxa" w:w="3430"/>
          </w:tcPr>
          <w:p>
            <w:pPr>
              <w:spacing w:after="0"/>
            </w:pPr>
            <w:r>
              <w:rPr>
                <w:sz w:val="16"/>
              </w:rPr>
              <w:t>Lernprodukte reflektieren</w:t>
            </w:r>
          </w:p>
        </w:tc>
      </w:tr>
      <w:tr>
        <w:tc>
          <w:tcPr>
            <w:tcW w:type="dxa" w:w="3430"/>
          </w:tcPr>
          <w:p>
            <w:pPr>
              <w:spacing w:after="0"/>
            </w:pPr>
            <w:r>
              <w:rPr>
                <w:sz w:val="16"/>
              </w:rPr>
              <w:t>K08</w:t>
            </w:r>
          </w:p>
        </w:tc>
        <w:tc>
          <w:tcPr>
            <w:tcW w:type="dxa" w:w="3430"/>
          </w:tcPr>
          <w:p>
            <w:pPr>
              <w:spacing w:after="0"/>
            </w:pPr>
            <w:r>
              <w:rPr>
                <w:sz w:val="16"/>
              </w:rPr>
              <w:t>Abschluss Lernauftrag</w:t>
            </w:r>
          </w:p>
        </w:tc>
      </w:tr>
    </w:tbl>
    <w:p>
      <w:r>
        <w:br w:type="page"/>
      </w:r>
    </w:p>
    <w:p>
      <w:pPr>
        <w:pStyle w:val="Heading1"/>
      </w:pPr>
      <w:r>
        <w:t>Planungsbezug und Kompetenzen</w:t>
      </w:r>
    </w:p>
    <w:p>
      <w:r>
        <w:t>Querschnittskompetenz für BK, BKWI und berufliches Gymnasium. Der Kurs wird fachnah in vorhandene Unterrichtsaufgaben eingebettet. Er ersetzt keinen Fachlehrplan, sondern sichert lernförderliche, prüfende und verantwortliche KI Nutzung.</w:t>
      </w:r>
    </w:p>
    <w:tbl>
      <w:tblPr>
        <w:tblStyle w:val="TableGrid"/>
        <w:tblW w:type="auto" w:w="0"/>
        <w:jc w:val="center"/>
        <w:tblLook w:firstColumn="1" w:firstRow="1" w:lastColumn="0" w:lastRow="0" w:noHBand="0" w:noVBand="1" w:val="04A0"/>
      </w:tblPr>
      <w:tblGrid>
        <w:gridCol w:w="2287"/>
        <w:gridCol w:w="2287"/>
        <w:gridCol w:w="2287"/>
      </w:tblGrid>
      <w:tr>
        <w:trPr>
          <w:tblHeader w:val="true"/>
        </w:trPr>
        <w:tc>
          <w:tcPr>
            <w:tcW w:type="dxa" w:w="2287"/>
            <w:shd w:fill="263238"/>
            <w:tcBorders>
              <w:top w:val="single" w:sz="8" w:color="263238"/>
              <w:left w:val="single" w:sz="8" w:color="263238"/>
              <w:bottom w:val="single" w:sz="8" w:color="263238"/>
              <w:right w:val="single" w:sz="8" w:color="263238"/>
            </w:tcBorders>
          </w:tcPr>
          <w:p>
            <w:r>
              <w:rPr>
                <w:b/>
                <w:color w:val="FFFFFF"/>
              </w:rPr>
              <w:t>Kompetenz</w:t>
            </w:r>
          </w:p>
        </w:tc>
        <w:tc>
          <w:tcPr>
            <w:tcW w:type="dxa" w:w="2287"/>
            <w:shd w:fill="263238"/>
            <w:tcBorders>
              <w:top w:val="single" w:sz="8" w:color="263238"/>
              <w:left w:val="single" w:sz="8" w:color="263238"/>
              <w:bottom w:val="single" w:sz="8" w:color="263238"/>
              <w:right w:val="single" w:sz="8" w:color="263238"/>
            </w:tcBorders>
          </w:tcPr>
          <w:p>
            <w:r>
              <w:rPr>
                <w:b/>
                <w:color w:val="FFFFFF"/>
              </w:rPr>
              <w:t>Lernschritt</w:t>
            </w:r>
          </w:p>
        </w:tc>
        <w:tc>
          <w:tcPr>
            <w:tcW w:type="dxa" w:w="2287"/>
            <w:shd w:fill="263238"/>
            <w:tcBorders>
              <w:top w:val="single" w:sz="8" w:color="263238"/>
              <w:left w:val="single" w:sz="8" w:color="263238"/>
              <w:bottom w:val="single" w:sz="8" w:color="263238"/>
              <w:right w:val="single" w:sz="8" w:color="263238"/>
            </w:tcBorders>
          </w:tcPr>
          <w:p>
            <w:r>
              <w:rPr>
                <w:b/>
                <w:color w:val="FFFFFF"/>
              </w:rPr>
              <w:t>Prüfbares Produkt</w:t>
            </w:r>
          </w:p>
        </w:tc>
      </w:tr>
      <w:tr>
        <w:tc>
          <w:tcPr>
            <w:tcW w:type="dxa" w:w="2287"/>
          </w:tcPr>
          <w:p>
            <w:r>
              <w:t>Werkzeuge und Begriffe fachlich erklären</w:t>
            </w:r>
          </w:p>
        </w:tc>
        <w:tc>
          <w:tcPr>
            <w:tcW w:type="dxa" w:w="2287"/>
          </w:tcPr>
          <w:p>
            <w:r>
              <w:t>Denkmodell und Minimalbeispiel</w:t>
            </w:r>
          </w:p>
        </w:tc>
        <w:tc>
          <w:tcPr>
            <w:tcW w:type="dxa" w:w="2287"/>
          </w:tcPr>
          <w:p>
            <w:r>
              <w:t>Begriffsnetz oder Kurzbegründung</w:t>
            </w:r>
          </w:p>
        </w:tc>
      </w:tr>
      <w:tr>
        <w:tc>
          <w:tcPr>
            <w:tcW w:type="dxa" w:w="2287"/>
          </w:tcPr>
          <w:p>
            <w:r>
              <w:t>einen Arbeitsprozess anwenden</w:t>
            </w:r>
          </w:p>
        </w:tc>
        <w:tc>
          <w:tcPr>
            <w:tcW w:type="dxa" w:w="2287"/>
          </w:tcPr>
          <w:p>
            <w:r>
              <w:t>angeleitete Kernaufgabe</w:t>
            </w:r>
          </w:p>
        </w:tc>
        <w:tc>
          <w:tcPr>
            <w:tcW w:type="dxa" w:w="2287"/>
          </w:tcPr>
          <w:p>
            <w:r>
              <w:t>Datei, Protokoll oder getesteter Projektstand</w:t>
            </w:r>
          </w:p>
        </w:tc>
      </w:tr>
      <w:tr>
        <w:tc>
          <w:tcPr>
            <w:tcW w:type="dxa" w:w="2287"/>
          </w:tcPr>
          <w:p>
            <w:r>
              <w:t>Ergebnisse prüfen und beurteilen</w:t>
            </w:r>
          </w:p>
        </w:tc>
        <w:tc>
          <w:tcPr>
            <w:tcW w:type="dxa" w:w="2287"/>
          </w:tcPr>
          <w:p>
            <w:r>
              <w:t>Testkriterien und Fehleranalyse</w:t>
            </w:r>
          </w:p>
        </w:tc>
        <w:tc>
          <w:tcPr>
            <w:tcW w:type="dxa" w:w="2287"/>
          </w:tcPr>
          <w:p>
            <w:r>
              <w:t>Prüfprotokoll mit begründetem Urteil</w:t>
            </w:r>
          </w:p>
        </w:tc>
      </w:tr>
      <w:tr>
        <w:tc>
          <w:tcPr>
            <w:tcW w:type="dxa" w:w="2287"/>
          </w:tcPr>
          <w:p>
            <w:r>
              <w:t>verantwortlich handeln</w:t>
            </w:r>
          </w:p>
        </w:tc>
        <w:tc>
          <w:tcPr>
            <w:tcW w:type="dxa" w:w="2287"/>
          </w:tcPr>
          <w:p>
            <w:r>
              <w:t>Datenschutz, Sicherheit und Transparenz</w:t>
            </w:r>
          </w:p>
        </w:tc>
        <w:tc>
          <w:tcPr>
            <w:tcW w:type="dxa" w:w="2287"/>
          </w:tcPr>
          <w:p>
            <w:r>
              <w:t>Risikoanalyse oder Nutzungsnachweis</w:t>
            </w:r>
          </w:p>
        </w:tc>
      </w:tr>
    </w:tbl>
    <w:p>
      <w:pPr>
        <w:pStyle w:val="Heading2"/>
      </w:pPr>
      <w:r>
        <w:t>Grafischer Ausgangspunkt</w:t>
      </w:r>
    </w:p>
    <w:p>
      <w:pPr>
        <w:jc w:val="center"/>
      </w:pPr>
      <w:r>
        <w:drawing>
          <wp:inline xmlns:a="http://schemas.openxmlformats.org/drawingml/2006/main" xmlns:pic="http://schemas.openxmlformats.org/drawingml/2006/picture">
            <wp:extent cx="4176000" cy="2366400"/>
            <wp:docPr id="2" name="Picture 2" descr="Grafisches Mockup der Lernoberfläche mit Navigation, Arbeitsauftrag und überprüfbarem Lernschritt" title="Grafisches Mockup der Lernoberfläche mit Navigation, Arbeitsauftrag und überprüf"/>
            <wp:cNvGraphicFramePr>
              <a:graphicFrameLocks noChangeAspect="1"/>
            </wp:cNvGraphicFramePr>
            <a:graphic>
              <a:graphicData uri="http://schemas.openxmlformats.org/drawingml/2006/picture">
                <pic:pic>
                  <pic:nvPicPr>
                    <pic:cNvPr id="0" name="ki_mockup.png"/>
                    <pic:cNvPicPr/>
                  </pic:nvPicPr>
                  <pic:blipFill>
                    <a:blip r:embed="rId12"/>
                    <a:stretch>
                      <a:fillRect/>
                    </a:stretch>
                  </pic:blipFill>
                  <pic:spPr>
                    <a:xfrm>
                      <a:off x="0" y="0"/>
                      <a:ext cx="4176000" cy="2366400"/>
                    </a:xfrm>
                    <a:prstGeom prst="rect"/>
                  </pic:spPr>
                </pic:pic>
              </a:graphicData>
            </a:graphic>
          </wp:inline>
        </w:drawing>
      </w:r>
    </w:p>
    <w:p>
      <w:pPr>
        <w:jc w:val="center"/>
      </w:pPr>
      <w:r>
        <w:t>Abbildung 1 Grafisches Mockup als Impuls für Arbeitsabläufe und Qualitätskriterien</w:t>
      </w:r>
    </w:p>
    <w:p>
      <w:r>
        <w:br w:type="page"/>
      </w:r>
    </w:p>
    <w:p>
      <w:pPr>
        <w:pStyle w:val="Heading1"/>
      </w:pPr>
      <w:bookmarkStart w:id="13" w:name="toc_sec_001"/>
      <w:bookmarkStart w:id="2" w:name="kil_sec_01"/>
      <w:r>
        <w:t>1 Lernziel und Verantwortung</w:t>
      </w:r>
      <w:bookmarkEnd w:id="2"/>
      <w:bookmarkEnd w:id="13"/>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Lernziel, Aufgabe und Verantwortung zwischen Lernendem, KI und Lehrkraft trennen. Jetzt tun: Formuliere ein eigenes Lernziel und einen überprüfbaren Erfolgsnachweis.</w:t>
            </w:r>
          </w:p>
        </w:tc>
      </w:tr>
    </w:tbl>
    <w:p/>
    <w:p>
      <w:pPr>
        <w:pStyle w:val="Heading2"/>
      </w:pPr>
      <w:r>
        <w:t>Warum ist das wichtig</w:t>
      </w:r>
    </w:p>
    <w:p>
      <w:r>
        <w:t>Lernen gelingt nur, wenn du den Denkweg steuerst und das Ergebnis selbst beurteilen kannst. Das Lernprodukt dieses Moduls wird im Abschlussportfolio verwendet.</w:t>
      </w:r>
    </w:p>
    <w:p>
      <w:pPr>
        <w:pStyle w:val="Heading2"/>
      </w:pPr>
      <w:r>
        <w:t>Denkmodell und Fachwissen</w:t>
      </w:r>
    </w:p>
    <w:p>
      <w:r>
        <w:t>Die KI unterstützt den Denkweg. Fachliche Verantwortung und Entscheidung bleiben beim Menschen.</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Die KI unterstützt den Denkweg. Fachliche Verantwortung und Entscheidung bleiben beim Menschen.</w:t>
            </w:r>
          </w:p>
        </w:tc>
      </w:tr>
    </w:tbl>
    <w:p/>
    <w:p>
      <w:pPr>
        <w:pStyle w:val="Heading2"/>
      </w:pPr>
      <w:r>
        <w:t>Kernaufgabe KIL-K01-A01</w:t>
      </w:r>
    </w:p>
    <w:p>
      <w:r>
        <w:t>Formuliere ein eigenes Lernziel und einen überprüfbaren Erfolgsnachweis.</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Erstelle eine Lernvereinbarung mit Grenzen.</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Lernziel und Verantwortung.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KIL-K01-V01.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14" w:name="toc_sec_002"/>
      <w:bookmarkStart w:id="3" w:name="kil_sec_02"/>
      <w:r>
        <w:t>2 Gute Startprompts</w:t>
      </w:r>
      <w:bookmarkEnd w:id="3"/>
      <w:bookmarkEnd w:id="14"/>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Rolle, Ziel, Vorwissen, Vorgehen und Ergebnisform präzise angeben. Jetzt tun: Vergleiche einen vagen mit einem lernförderlichen Prompt.</w:t>
            </w:r>
          </w:p>
        </w:tc>
      </w:tr>
    </w:tbl>
    <w:p/>
    <w:p>
      <w:pPr>
        <w:pStyle w:val="Heading2"/>
      </w:pPr>
      <w:r>
        <w:t>Warum ist das wichtig</w:t>
      </w:r>
    </w:p>
    <w:p>
      <w:r>
        <w:t>Lernen gelingt nur, wenn du den Denkweg steuerst und das Ergebnis selbst beurteilen kannst. Das Lernprodukt dieses Moduls wird im Abschlussportfolio verwendet.</w:t>
      </w:r>
    </w:p>
    <w:p>
      <w:pPr>
        <w:pStyle w:val="Heading2"/>
      </w:pPr>
      <w:r>
        <w:t>Denkmodell und Fachwissen</w:t>
      </w:r>
    </w:p>
    <w:p>
      <w:r>
        <w:t>Ein guter Lernprompt nennt Rolle, Ziel, Vorwissen, erwünschtes Vorgehen und Ergebnisform.</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Ein guter Lernprompt nennt Rolle, Ziel, Vorwissen, erwünschtes Vorgehen und Ergebnisform.</w:t>
            </w:r>
          </w:p>
        </w:tc>
      </w:tr>
    </w:tbl>
    <w:p/>
    <w:p>
      <w:pPr>
        <w:pStyle w:val="Heading2"/>
      </w:pPr>
      <w:r>
        <w:t>Kernaufgabe KIL-K02-A01</w:t>
      </w:r>
    </w:p>
    <w:p>
      <w:r>
        <w:t>Vergleiche einen vagen mit einem lernförderlichen Prompt.</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Überarbeite drei Prompts mit der RZVER Struktur.</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Gute Startprompts.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KIL-K02-V01.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15" w:name="toc_sec_003"/>
      <w:bookmarkStart w:id="4" w:name="kil_sec_03"/>
      <w:r>
        <w:t>3 Rückfragen und Hilfestufen</w:t>
      </w:r>
      <w:bookmarkEnd w:id="4"/>
      <w:bookmarkEnd w:id="15"/>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Hilfe anfordern, ohne die Lösung vorwegzunehmen. Jetzt tun: Teste drei Hilfestufen an einer HTML oder Tabellenaufgabe.</w:t>
            </w:r>
          </w:p>
        </w:tc>
      </w:tr>
    </w:tbl>
    <w:p/>
    <w:p>
      <w:pPr>
        <w:pStyle w:val="Heading2"/>
      </w:pPr>
      <w:r>
        <w:t>Warum ist das wichtig</w:t>
      </w:r>
    </w:p>
    <w:p>
      <w:r>
        <w:t>Lernen gelingt nur, wenn du den Denkweg steuerst und das Ergebnis selbst beurteilen kannst. Das Lernprodukt dieses Moduls wird im Abschlussportfolio verwendet.</w:t>
      </w:r>
    </w:p>
    <w:p>
      <w:pPr>
        <w:pStyle w:val="Heading2"/>
      </w:pPr>
      <w:r>
        <w:t>Denkmodell und Fachwissen</w:t>
      </w:r>
    </w:p>
    <w:p>
      <w:r>
        <w:t>Hinweis 1 aktiviert Vorwissen; erst spätere Stufen geben Teilstrukturen oder Beispiele.</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Hinweis 1 aktiviert Vorwissen; erst spätere Stufen geben Teilstrukturen oder Beispiele.</w:t>
            </w:r>
          </w:p>
        </w:tc>
      </w:tr>
    </w:tbl>
    <w:p/>
    <w:p>
      <w:pPr>
        <w:pStyle w:val="Heading2"/>
      </w:pPr>
      <w:r>
        <w:t>Kernaufgabe KIL-K03-A01</w:t>
      </w:r>
    </w:p>
    <w:p>
      <w:r>
        <w:t>Teste drei Hilfestufen an einer HTML oder Tabellenaufgabe.</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Protokolliere eigenen Versuch, Hinweis und nächsten Schritt.</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Rückfragen und Hilfestufen.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KIL-K03-V01.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16" w:name="toc_sec_004"/>
      <w:bookmarkStart w:id="5" w:name="kil_sec_04"/>
      <w:r>
        <w:t>4 Antworten prüfen</w:t>
      </w:r>
      <w:bookmarkEnd w:id="5"/>
      <w:bookmarkEnd w:id="16"/>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KI Aussagen mit Kriterien, Testfällen und Quellen kontrollieren. Jetzt tun: Prüfe eine absichtlich fehlerhafte Antwort.</w:t>
            </w:r>
          </w:p>
        </w:tc>
      </w:tr>
    </w:tbl>
    <w:p/>
    <w:p>
      <w:pPr>
        <w:pStyle w:val="Heading2"/>
      </w:pPr>
      <w:r>
        <w:t>Warum ist das wichtig</w:t>
      </w:r>
    </w:p>
    <w:p>
      <w:r>
        <w:t>Lernen gelingt nur, wenn du den Denkweg steuerst und das Ergebnis selbst beurteilen kannst. Das Lernprodukt dieses Moduls wird im Abschlussportfolio verwendet.</w:t>
      </w:r>
    </w:p>
    <w:p>
      <w:pPr>
        <w:pStyle w:val="Heading2"/>
      </w:pPr>
      <w:r>
        <w:t>Denkmodell und Fachwissen</w:t>
      </w:r>
    </w:p>
    <w:p>
      <w:r>
        <w:t>Plausibel klingender Text ist kein Nachweis. Prüfe fachlich, praktisch und anhand verlässlicher Quellen.</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Plausibel klingender Text ist kein Nachweis. Prüfe fachlich, praktisch und anhand verlässlicher Quellen.</w:t>
            </w:r>
          </w:p>
        </w:tc>
      </w:tr>
    </w:tbl>
    <w:p/>
    <w:p>
      <w:pPr>
        <w:pStyle w:val="Heading2"/>
      </w:pPr>
      <w:r>
        <w:t>Kernaufgabe KIL-K04-A01</w:t>
      </w:r>
    </w:p>
    <w:p>
      <w:r>
        <w:t>Prüfe eine absichtlich fehlerhafte Antwort.</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Erstelle Prüfprotokoll mit Behauptung, Test und Urteil.</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Antworten prüfen.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KIL-K04-V01.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17" w:name="toc_sec_005"/>
      <w:bookmarkStart w:id="6" w:name="kil_sec_05"/>
      <w:r>
        <w:t>5 Datenschutz und Urheberrecht</w:t>
      </w:r>
      <w:bookmarkEnd w:id="6"/>
      <w:bookmarkEnd w:id="17"/>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ungeeignete Eingaben erkennen und Materialien datensparsam verwenden. Jetzt tun: Sortiere Fallkarten in unbedenklich, anonymisieren oder nicht eingeben.</w:t>
            </w:r>
          </w:p>
        </w:tc>
      </w:tr>
    </w:tbl>
    <w:p/>
    <w:p>
      <w:pPr>
        <w:pStyle w:val="Heading2"/>
      </w:pPr>
      <w:r>
        <w:t>Warum ist das wichtig</w:t>
      </w:r>
    </w:p>
    <w:p>
      <w:r>
        <w:t>Lernen gelingt nur, wenn du den Denkweg steuerst und das Ergebnis selbst beurteilen kannst. Das Lernprodukt dieses Moduls wird im Abschlussportfolio verwendet.</w:t>
      </w:r>
    </w:p>
    <w:p>
      <w:pPr>
        <w:pStyle w:val="Heading2"/>
      </w:pPr>
      <w:r>
        <w:t>Denkmodell und Fachwissen</w:t>
      </w:r>
    </w:p>
    <w:p>
      <w:r>
        <w:t>Keine personenbezogenen Daten, Zugangsdaten oder ungeklärten geschützten Inhalte in einen KI Dienst eingeben.</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Keine personenbezogenen Daten, Zugangsdaten oder ungeklärten geschützten Inhalte in einen KI Dienst eingeben.</w:t>
            </w:r>
          </w:p>
        </w:tc>
      </w:tr>
    </w:tbl>
    <w:p/>
    <w:p>
      <w:pPr>
        <w:pStyle w:val="Heading2"/>
      </w:pPr>
      <w:r>
        <w:t>Kernaufgabe KIL-K05-A01</w:t>
      </w:r>
    </w:p>
    <w:p>
      <w:r>
        <w:t>Sortiere Fallkarten in unbedenklich, anonymisieren oder nicht eingeben.</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Begründe jede Entscheidung und formuliere eine sichere Alternative.</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Datenschutz und Urheberrecht.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KIL-K05-V01.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18" w:name="toc_sec_006"/>
      <w:bookmarkStart w:id="7" w:name="kil_sec_06"/>
      <w:r>
        <w:t>6 Fehler produktiv nutzen</w:t>
      </w:r>
      <w:bookmarkEnd w:id="7"/>
      <w:bookmarkEnd w:id="18"/>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Fehler beschreiben, eingrenzen und einen eigenen Reparaturversuch dokumentieren. Jetzt tun: Nutze das Vier Felder Fehlerprotokoll.</w:t>
            </w:r>
          </w:p>
        </w:tc>
      </w:tr>
    </w:tbl>
    <w:p/>
    <w:p>
      <w:pPr>
        <w:pStyle w:val="Heading2"/>
      </w:pPr>
      <w:r>
        <w:t>Warum ist das wichtig</w:t>
      </w:r>
    </w:p>
    <w:p>
      <w:r>
        <w:t>Lernen gelingt nur, wenn du den Denkweg steuerst und das Ergebnis selbst beurteilen kannst. Das Lernprodukt dieses Moduls wird im Abschlussportfolio verwendet.</w:t>
      </w:r>
    </w:p>
    <w:p>
      <w:pPr>
        <w:pStyle w:val="Heading2"/>
      </w:pPr>
      <w:r>
        <w:t>Denkmodell und Fachwissen</w:t>
      </w:r>
    </w:p>
    <w:p>
      <w:r>
        <w:t>Gute Fehleranfragen enthalten beobachtbares Verhalten und den kleinsten reproduzierbaren Fall.</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Gute Fehleranfragen enthalten beobachtbares Verhalten und den kleinsten reproduzierbaren Fall.</w:t>
            </w:r>
          </w:p>
        </w:tc>
      </w:tr>
    </w:tbl>
    <w:p/>
    <w:p>
      <w:pPr>
        <w:pStyle w:val="Heading2"/>
      </w:pPr>
      <w:r>
        <w:t>Kernaufgabe KIL-K06-A01</w:t>
      </w:r>
    </w:p>
    <w:p>
      <w:r>
        <w:t>Nutze das Vier Felder Fehlerprotokoll.</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Halte Soll, Ist, Versuch und Test fest.</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Fehler produktiv nutzen.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KIL-K06-V01.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19" w:name="toc_sec_007"/>
      <w:bookmarkStart w:id="8" w:name="kil_sec_07"/>
      <w:r>
        <w:t>7 Lernprodukte reflektieren</w:t>
      </w:r>
      <w:bookmarkEnd w:id="8"/>
      <w:bookmarkEnd w:id="19"/>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Eigenanteil, KI Beitrag und Prüfung transparent ausweisen. Jetzt tun: Markiere Beiträge in einem Beispielprodukt.</w:t>
            </w:r>
          </w:p>
        </w:tc>
      </w:tr>
    </w:tbl>
    <w:p/>
    <w:p>
      <w:pPr>
        <w:pStyle w:val="Heading2"/>
      </w:pPr>
      <w:r>
        <w:t>Warum ist das wichtig</w:t>
      </w:r>
    </w:p>
    <w:p>
      <w:r>
        <w:t>Lernen gelingt nur, wenn du den Denkweg steuerst und das Ergebnis selbst beurteilen kannst. Das Lernprodukt dieses Moduls wird im Abschlussportfolio verwendet.</w:t>
      </w:r>
    </w:p>
    <w:p>
      <w:pPr>
        <w:pStyle w:val="Heading2"/>
      </w:pPr>
      <w:r>
        <w:t>Denkmodell und Fachwissen</w:t>
      </w:r>
    </w:p>
    <w:p>
      <w:r>
        <w:t>Transparenz zeigt, was selbst verstanden, übernommen, verändert und geprüft wurde.</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Transparenz zeigt, was selbst verstanden, übernommen, verändert und geprüft wurde.</w:t>
            </w:r>
          </w:p>
        </w:tc>
      </w:tr>
    </w:tbl>
    <w:p/>
    <w:p>
      <w:pPr>
        <w:pStyle w:val="Heading2"/>
      </w:pPr>
      <w:r>
        <w:t>Kernaufgabe KIL-K07-A01</w:t>
      </w:r>
    </w:p>
    <w:p>
      <w:r>
        <w:t>Markiere Beiträge in einem Beispielprodukt.</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Erstelle einen kurzen KI Nutzungsnachweis.</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Lernprodukte reflektieren.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KIL-K07-V01.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20" w:name="toc_sec_008"/>
      <w:bookmarkStart w:id="9" w:name="kil_sec_08"/>
      <w:r>
        <w:t>8 Abschluss Lernauftrag</w:t>
      </w:r>
      <w:bookmarkEnd w:id="9"/>
      <w:bookmarkEnd w:id="20"/>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einen vollständigen Lernzyklus selbstständig planen und auswerten. Jetzt tun: Wähle eine kleine Fachaufgabe aus deinem Unterricht.</w:t>
            </w:r>
          </w:p>
        </w:tc>
      </w:tr>
    </w:tbl>
    <w:p/>
    <w:p>
      <w:pPr>
        <w:pStyle w:val="Heading2"/>
      </w:pPr>
      <w:r>
        <w:t>Warum ist das wichtig</w:t>
      </w:r>
    </w:p>
    <w:p>
      <w:r>
        <w:t>Lernen gelingt nur, wenn du den Denkweg steuerst und das Ergebnis selbst beurteilen kannst. Das Lernprodukt dieses Moduls wird im Abschlussportfolio verwendet.</w:t>
      </w:r>
    </w:p>
    <w:p>
      <w:pPr>
        <w:pStyle w:val="Heading2"/>
      </w:pPr>
      <w:r>
        <w:t>Denkmodell und Fachwissen</w:t>
      </w:r>
    </w:p>
    <w:p>
      <w:r>
        <w:t>Ein erfolgreicher Lernzyklus endet mit einem erklärbaren und überprüften Ergebnis.</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Ein erfolgreicher Lernzyklus endet mit einem erklärbaren und überprüften Ergebnis.</w:t>
            </w:r>
          </w:p>
        </w:tc>
      </w:tr>
    </w:tbl>
    <w:p/>
    <w:p>
      <w:pPr>
        <w:pStyle w:val="Heading2"/>
      </w:pPr>
      <w:r>
        <w:t>Kernaufgabe KIL-K08-A01</w:t>
      </w:r>
    </w:p>
    <w:p>
      <w:r>
        <w:t>Wähle eine kleine Fachaufgabe aus deinem Unterricht.</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Dokumentiere Ziel, Startprompt, Rückfragen, Ergebnis, Tests und Reflexion.</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Abschluss Lernauftrag.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KIL-K08-V01.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21" w:name="toc_sec_009"/>
      <w:bookmarkStart w:id="10" w:name="kil_sec_09"/>
      <w:r>
        <w:t>Abschlussportfolio und Selbstcheck</w:t>
      </w:r>
      <w:bookmarkEnd w:id="10"/>
      <w:bookmarkEnd w:id="21"/>
      <w:hyperlink w:anchor="inhalt" w:history="1">
        <w:r>
          <w:rPr>
            <w:rFonts w:ascii="Aptos" w:hAnsi="Aptos"/>
            <w:b/>
            <w:i w:val="0"/>
            <w:color w:val="007C83"/>
            <w:sz w:val="18"/>
            <w:szCs w:val="18"/>
          </w:rPr>
          <w:t xml:space="preserve">  ↩ Inhalt</w:t>
        </w:r>
      </w:hyperlink>
    </w:p>
    <w:p>
      <w:r>
        <w:t>Lege die Lernprodukte nach Aufgaben ID ab. Wähle drei Produkte aus, die deinen Fortschritt zeigen, und ergänze jeweils Ausgangslage, Änderung, Prüfung und nächste Verbesserung.</w:t>
      </w:r>
    </w:p>
    <w:tbl>
      <w:tblPr>
        <w:tblStyle w:val="TableGrid"/>
        <w:tblW w:type="auto" w:w="0"/>
        <w:jc w:val="center"/>
        <w:tblLook w:firstColumn="1" w:firstRow="1" w:lastColumn="0" w:lastRow="0" w:noHBand="0" w:noVBand="1" w:val="04A0"/>
      </w:tblPr>
      <w:tblGrid>
        <w:gridCol w:w="2287"/>
        <w:gridCol w:w="2287"/>
        <w:gridCol w:w="2287"/>
      </w:tblGrid>
      <w:tr>
        <w:trPr>
          <w:tblHeader w:val="true"/>
        </w:trPr>
        <w:tc>
          <w:tcPr>
            <w:tcW w:type="dxa" w:w="2287"/>
            <w:shd w:fill="263238"/>
            <w:tcBorders>
              <w:top w:val="single" w:sz="8" w:color="263238"/>
              <w:left w:val="single" w:sz="8" w:color="263238"/>
              <w:bottom w:val="single" w:sz="8" w:color="263238"/>
              <w:right w:val="single" w:sz="8" w:color="263238"/>
            </w:tcBorders>
          </w:tcPr>
          <w:p>
            <w:r>
              <w:rPr>
                <w:b/>
                <w:color w:val="FFFFFF"/>
              </w:rPr>
              <w:t>Kriterium</w:t>
            </w:r>
          </w:p>
        </w:tc>
        <w:tc>
          <w:tcPr>
            <w:tcW w:type="dxa" w:w="2287"/>
            <w:shd w:fill="263238"/>
            <w:tcBorders>
              <w:top w:val="single" w:sz="8" w:color="263238"/>
              <w:left w:val="single" w:sz="8" w:color="263238"/>
              <w:bottom w:val="single" w:sz="8" w:color="263238"/>
              <w:right w:val="single" w:sz="8" w:color="263238"/>
            </w:tcBorders>
          </w:tcPr>
          <w:p>
            <w:r>
              <w:rPr>
                <w:b/>
                <w:color w:val="FFFFFF"/>
              </w:rPr>
              <w:t>erfüllt</w:t>
            </w:r>
          </w:p>
        </w:tc>
        <w:tc>
          <w:tcPr>
            <w:tcW w:type="dxa" w:w="2287"/>
            <w:shd w:fill="263238"/>
            <w:tcBorders>
              <w:top w:val="single" w:sz="8" w:color="263238"/>
              <w:left w:val="single" w:sz="8" w:color="263238"/>
              <w:bottom w:val="single" w:sz="8" w:color="263238"/>
              <w:right w:val="single" w:sz="8" w:color="263238"/>
            </w:tcBorders>
          </w:tcPr>
          <w:p>
            <w:r>
              <w:rPr>
                <w:b/>
                <w:color w:val="FFFFFF"/>
              </w:rPr>
              <w:t>noch offen</w:t>
            </w:r>
          </w:p>
        </w:tc>
      </w:tr>
      <w:tr>
        <w:tc>
          <w:tcPr>
            <w:tcW w:type="dxa" w:w="2287"/>
          </w:tcPr>
          <w:p>
            <w:r>
              <w:t>Ich kann den vollständigen Arbeitsprozess erklären.</w:t>
            </w:r>
          </w:p>
        </w:tc>
        <w:tc>
          <w:tcPr>
            <w:tcW w:type="dxa" w:w="2287"/>
          </w:tcPr>
          <w:p>
            <w:r>
              <w:t>☐</w:t>
            </w:r>
          </w:p>
        </w:tc>
        <w:tc>
          <w:tcPr>
            <w:tcW w:type="dxa" w:w="2287"/>
          </w:tcPr>
          <w:p>
            <w:r>
              <w:t>☐</w:t>
            </w:r>
          </w:p>
        </w:tc>
      </w:tr>
      <w:tr>
        <w:tc>
          <w:tcPr>
            <w:tcW w:type="dxa" w:w="2287"/>
          </w:tcPr>
          <w:p>
            <w:r>
              <w:t>Ich kann ein Ergebnis mit objektiven Kriterien testen.</w:t>
            </w:r>
          </w:p>
        </w:tc>
        <w:tc>
          <w:tcPr>
            <w:tcW w:type="dxa" w:w="2287"/>
          </w:tcPr>
          <w:p>
            <w:r>
              <w:t>☐</w:t>
            </w:r>
          </w:p>
        </w:tc>
        <w:tc>
          <w:tcPr>
            <w:tcW w:type="dxa" w:w="2287"/>
          </w:tcPr>
          <w:p>
            <w:r>
              <w:t>☐</w:t>
            </w:r>
          </w:p>
        </w:tc>
      </w:tr>
      <w:tr>
        <w:tc>
          <w:tcPr>
            <w:tcW w:type="dxa" w:w="2287"/>
          </w:tcPr>
          <w:p>
            <w:r>
              <w:t>Ich kann Grenzen und Risiken benennen.</w:t>
            </w:r>
          </w:p>
        </w:tc>
        <w:tc>
          <w:tcPr>
            <w:tcW w:type="dxa" w:w="2287"/>
          </w:tcPr>
          <w:p>
            <w:r>
              <w:t>☐</w:t>
            </w:r>
          </w:p>
        </w:tc>
        <w:tc>
          <w:tcPr>
            <w:tcW w:type="dxa" w:w="2287"/>
          </w:tcPr>
          <w:p>
            <w:r>
              <w:t>☐</w:t>
            </w:r>
          </w:p>
        </w:tc>
      </w:tr>
      <w:tr>
        <w:tc>
          <w:tcPr>
            <w:tcW w:type="dxa" w:w="2287"/>
          </w:tcPr>
          <w:p>
            <w:r>
              <w:t>Ich kann meinen Eigenanteil nachvollziehbar darstellen.</w:t>
            </w:r>
          </w:p>
        </w:tc>
        <w:tc>
          <w:tcPr>
            <w:tcW w:type="dxa" w:w="2287"/>
          </w:tcPr>
          <w:p>
            <w:r>
              <w:t>☐</w:t>
            </w:r>
          </w:p>
        </w:tc>
        <w:tc>
          <w:tcPr>
            <w:tcW w:type="dxa" w:w="2287"/>
          </w:tcPr>
          <w:p>
            <w:r>
              <w:t>☐</w:t>
            </w:r>
          </w:p>
        </w:tc>
      </w:tr>
    </w:tbl>
    <w:p>
      <w:pPr>
        <w:pStyle w:val="Heading1"/>
      </w:pPr>
      <w:bookmarkStart w:id="22" w:name="toc_sec_010"/>
      <w:bookmarkStart w:id="11" w:name="kil_sec_10"/>
      <w:r>
        <w:t>Quellen und Lizenz</w:t>
      </w:r>
      <w:bookmarkEnd w:id="11"/>
      <w:bookmarkEnd w:id="22"/>
      <w:hyperlink w:anchor="inhalt" w:history="1">
        <w:r>
          <w:rPr>
            <w:rFonts w:ascii="Aptos" w:hAnsi="Aptos"/>
            <w:b/>
            <w:i w:val="0"/>
            <w:color w:val="007C83"/>
            <w:sz w:val="18"/>
            <w:szCs w:val="18"/>
          </w:rPr>
          <w:t xml:space="preserve">  ↩ Inhalt</w:t>
        </w:r>
      </w:hyperlink>
    </w:p>
    <w:p>
      <w:r>
        <w:t>Fachliche Referenzen: UNESCO Guidance for Generative AI in Education and Research; europäische Datenschutzgrundsätze; jeweilige schulische KI Nutzungsregeln. Für Pflichtaufgaben ist kein Internetzugriff erforderlich.</w:t>
      </w:r>
    </w:p>
    <w:p>
      <w:r>
        <w:t>Sofern bei einzelnen Materialien nichts anderes angegeben ist: CC BY-SA 4.0. Selbst erstellte Mockups und Vorlagen dürfen im Unterricht verändert und weitergegeben werden. Autorin beziehungsweise redaktionell verantwortliche Lehrkraft: Christine Janischek.</w:t>
      </w:r>
    </w:p>
    <w:sectPr w:rsidR="00FC693F" w:rsidRPr="0006063C" w:rsidSect="00034616">
      <w:headerReference w:type="first" r:id="rId9"/>
      <w:headerReference w:type="default" r:id="rId10"/>
      <w:footerReference w:type="default" r:id="rId13"/>
      <w:footerReference w:type="first" r:id="rId14"/>
      <w:pgSz w:w="8391" w:h="11906"/>
      <w:pgMar w:top="765" w:right="765" w:bottom="765" w:left="765" w:header="312" w:footer="720" w:gutter="0"/>
      <w:cols w:space="720"/>
      <w:titlePg/>
      <w:docGrid w:linePitch="360"/>
      <w:pgBorders w:offsetFrom="page">
        <w:top w:val="single" w:sz="6" w:space="14" w:color="6D9E9B"/>
        <w:left w:val="single" w:sz="6" w:space="14" w:color="6D9E9B"/>
        <w:bottom w:val="single" w:sz="6" w:space="14" w:color="6D9E9B"/>
        <w:right w:val="single" w:sz="6" w:space="14" w:color="6D9E9B"/>
      </w:pgBorder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drawing>
        <wp:anchor distT="0" distB="0" distL="0" distR="0" simplePos="0" relativeHeight="0" behindDoc="1" locked="0" layoutInCell="1" allowOverlap="1">
          <wp:simplePos x="0" y="0"/>
          <wp:positionH relativeFrom="page">
            <wp:posOffset>0</wp:posOffset>
          </wp:positionH>
          <wp:positionV relativeFrom="page">
            <wp:posOffset>0</wp:posOffset>
          </wp:positionV>
          <wp:extent cx="5328285" cy="7560310"/>
          <wp:wrapNone/>
          <wp:docPr id="1" name="Picture 1" descr="Dekorativer leicht mintfarbener Hintergrund der Titelseite" title="Dekorativer leicht mintfarbener Hintergrund der Titelseite"/>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image.png"/>
                  <pic:cNvPicPr/>
                </pic:nvPicPr>
                <pic:blipFill>
                  <a:blip r:embed="rId1"/>
                  <a:stretch>
                    <a:fillRect/>
                  </a:stretch>
                </pic:blipFill>
                <pic:spPr>
                  <a:xfrm>
                    <a:off x="0" y="0"/>
                    <a:ext cx="5328285" cy="7560310"/>
                  </a:xfrm>
                  <a:prstGeom prst="rect"/>
                </pic:spPr>
              </pic:pic>
            </a:graphicData>
          </a:graphic>
        </wp:anchor>
      </w:drawing>
    </w:r>
    <w:r>
      <w:rPr>
        <w:rFonts w:ascii="Aptos" w:hAnsi="Aptos"/>
        <w:b/>
        <w:color w:val="267365"/>
        <w:sz w:val="13"/>
      </w:rPr>
      <w:t>EDUCODE LAB  ·  KIL  ·  MIT EINEM KI LERNAGENTEN LERNEN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Display" w:hAnsi="Aptos Display"/>
        <w:b/>
        <w:i w:val="0"/>
        <w:color w:val="267365"/>
        <w:sz w:val="17"/>
      </w:rPr>
      <w:t>EDUCODE LAB  ·  KIL  ·  MIT EINEM KI LERNAGENTEN LERNEN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Aptos" w:hAnsi="Aptos"/>
      <w:color w:val="263238"/>
      <w:sz w:val="20"/>
      <w:lang w:val="de-DE" w:eastAsia="de-DE" w:bidi="de-DE"/>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267365"/>
      <w:sz w:val="30"/>
      <w:szCs w:val="28"/>
      <w:lang w:val="de-DE" w:eastAsia="de-DE" w:bidi="de-DE"/>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267365"/>
      <w:sz w:val="24"/>
      <w:szCs w:val="26"/>
      <w:lang w:val="de-DE" w:eastAsia="de-DE" w:bidi="de-DE"/>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267365"/>
      <w:sz w:val="22"/>
      <w:lang w:val="de-DE" w:eastAsia="de-DE" w:bidi="de-D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300" w:line="240" w:lineRule="auto"/>
      <w:contextualSpacing/>
    </w:pPr>
    <w:rPr>
      <w:rFonts w:asciiTheme="majorHAnsi" w:eastAsiaTheme="majorEastAsia" w:hAnsiTheme="majorHAnsi" w:cstheme="majorBidi" w:ascii="Aptos" w:hAnsi="Aptos"/>
      <w:b/>
      <w:color w:val="17365D"/>
      <w:spacing w:val="5"/>
      <w:kern w:val="28"/>
      <w:sz w:val="44"/>
      <w:szCs w:val="52"/>
      <w:lang w:val="de-DE" w:eastAsia="de-DE" w:bidi="de-DE"/>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SKI-Lernagent">
    <w:name w:val="LS KI-Lernagent"/>
    <w:basedOn w:val="Normal"/>
    <w:rPr>
      <w:rFonts w:ascii="Aptos" w:hAnsi="Aptos"/>
      <w:color w:val="17324D"/>
      <w:sz w:val="17"/>
    </w:rPr>
  </w:style>
  <w:style w:type="paragraph" w:customStyle="1" w:styleId="LSHinweis">
    <w:name w:val="LS Hinweis"/>
    <w:basedOn w:val="Normal"/>
    <w:rPr>
      <w:rFonts w:ascii="Aptos" w:hAnsi="Aptos"/>
      <w:color w:val="17324D"/>
      <w:sz w:val="17"/>
    </w:rPr>
  </w:style>
  <w:style w:type="paragraph" w:customStyle="1" w:styleId="LSKernauftrag">
    <w:name w:val="LS Kernauftrag"/>
    <w:basedOn w:val="Normal"/>
    <w:rPr>
      <w:rFonts w:ascii="Aptos" w:hAnsi="Aptos"/>
      <w:color w:val="17324D"/>
      <w:sz w:val="17"/>
    </w:rPr>
  </w:style>
  <w:style w:type="paragraph" w:customStyle="1" w:styleId="LSSelbstprüfung">
    <w:name w:val="LS Selbstprüfung"/>
    <w:basedOn w:val="Normal"/>
    <w:rPr>
      <w:rFonts w:ascii="Aptos" w:hAnsi="Aptos"/>
      <w:color w:val="17324D"/>
      <w:sz w:val="17"/>
    </w:rPr>
  </w:style>
  <w:style w:type="paragraph" w:customStyle="1" w:styleId="LSLernziel">
    <w:name w:val="LS Lernziel"/>
    <w:basedOn w:val="Normal"/>
    <w:rPr>
      <w:rFonts w:ascii="Aptos" w:hAnsi="Aptos"/>
      <w:color w:val="17324D"/>
      <w:sz w:val="17"/>
    </w:rPr>
  </w:style>
  <w:style w:type="paragraph" w:customStyle="1" w:styleId="LSPrompt">
    <w:name w:val="LS Prompt"/>
    <w:basedOn w:val="Normal"/>
    <w:rPr>
      <w:rFonts w:ascii="Aptos" w:hAnsi="Aptos"/>
      <w:color w:val="17324D"/>
      <w:sz w:val="17"/>
    </w:rPr>
  </w:style>
  <w:style w:type="paragraph" w:customStyle="1" w:styleId="LSMerksatz">
    <w:name w:val="LS Merksatz"/>
    <w:basedOn w:val="Normal"/>
    <w:rPr>
      <w:rFonts w:ascii="Aptos" w:hAnsi="Aptos"/>
      <w:color w:val="17324D"/>
      <w:sz w:val="17"/>
    </w:rPr>
  </w:style>
  <w:style w:type="paragraph" w:customStyle="1" w:styleId="LSCode">
    <w:name w:val="LS Code"/>
    <w:basedOn w:val="Normal"/>
    <w:rPr>
      <w:rFonts w:ascii="Aptos" w:hAnsi="Aptos"/>
      <w:color w:val="17324D"/>
      <w:sz w:val="17"/>
    </w:rPr>
  </w:style>
  <w:style w:type="paragraph" w:customStyle="1" w:styleId="LSVertiefung">
    <w:name w:val="LS Vertiefung"/>
    <w:basedOn w:val="Normal"/>
    <w:rPr>
      <w:rFonts w:ascii="Aptos" w:hAnsi="Aptos"/>
      <w:color w:val="17324D"/>
      <w:sz w:val="17"/>
    </w:rPr>
  </w:style>
  <w:style w:type="paragraph" w:customStyle="1" w:styleId="LSMaterial">
    <w:name w:val="LS Material"/>
    <w:basedOn w:val="Normal"/>
    <w:rPr>
      <w:rFonts w:ascii="Aptos" w:hAnsi="Aptos"/>
      <w:color w:val="17324D"/>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 einem KI Lernagenten lernen</dc:title>
  <dc:subject>Unterrichtsskript im einheitlichen EDUCODE LAB Serienmaster R7</dc:subject>
  <dc:creator>Christine Janischek</dc:creator>
  <cp:keywords/>
  <dc:description>generated by python-docx</dc:description>
  <cp:lastModifiedBy/>
  <cp:revision>1</cp:revision>
  <dcterms:created xsi:type="dcterms:W3CDTF">2013-12-23T23:15:00Z</dcterms:created>
  <dcterms:modified xsi:type="dcterms:W3CDTF">2013-12-23T23:15:00Z</dcterms:modified>
  <cp:category/>
  <dc:language>de-DE</dc:language>
</cp:coreProperties>
</file>