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312"/>
      </w:tblGrid>
      <w:tr>
        <w:trPr>
          <w:trHeight w:val="5386"/>
        </w:trPr>
        <w:tc>
          <w:tcPr>
            <w:tcW w:type="dxa" w:w="10312"/>
            <w:shd w:fill="DDF3F2"/>
            <w:vAlign w:val="center"/>
          </w:tcPr>
          <w:p>
            <w:pPr>
              <w:jc w:val="center"/>
            </w:pPr>
            <w:r>
              <w:rPr>
                <w:b/>
                <w:color w:val="00575D"/>
                <w:sz w:val="50"/>
              </w:rPr>
              <w:t>Erwartungshorizonte Machine Learning</w:t>
            </w:r>
          </w:p>
          <w:p>
            <w:pPr>
              <w:jc w:val="center"/>
            </w:pPr>
            <w:r>
              <w:t>Bewertbare Anker und Korrekturhinweise</w:t>
            </w:r>
          </w:p>
          <w:p>
            <w:pPr>
              <w:jc w:val="center"/>
            </w:pPr>
            <w:r>
              <w:t>Version 1.0 · Schuljahr 2026/2027</w:t>
            </w:r>
          </w:p>
        </w:tc>
      </w:tr>
    </w:tbl>
    <w:p>
      <w:pPr>
        <w:jc w:val="center"/>
      </w:pPr>
      <w:r>
        <w:t>Christine Janischek</w:t>
      </w:r>
    </w:p>
    <w:p>
      <w:r>
        <w:br w:type="page"/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62"/>
        <w:gridCol w:w="2062"/>
        <w:gridCol w:w="2062"/>
        <w:gridCol w:w="2062"/>
        <w:gridCol w:w="2062"/>
      </w:tblGrid>
      <w:tr>
        <w:trPr>
          <w:tblHeader w:val="true"/>
        </w:trPr>
        <w:tc>
          <w:tcPr>
            <w:tcW w:type="dxa" w:w="2062"/>
            <w:shd w:fill="00575D"/>
          </w:tcPr>
          <w:p>
            <w:r>
              <w:rPr>
                <w:b/>
                <w:color w:val="FFFFFF"/>
              </w:rPr>
              <w:t>ID</w:t>
            </w:r>
          </w:p>
        </w:tc>
        <w:tc>
          <w:tcPr>
            <w:tcW w:type="dxa" w:w="2062"/>
            <w:shd w:fill="00575D"/>
          </w:tcPr>
          <w:p>
            <w:r>
              <w:rPr>
                <w:b/>
                <w:color w:val="FFFFFF"/>
              </w:rPr>
              <w:t>Zuordnung</w:t>
            </w:r>
          </w:p>
        </w:tc>
        <w:tc>
          <w:tcPr>
            <w:tcW w:type="dxa" w:w="2062"/>
            <w:shd w:fill="00575D"/>
          </w:tcPr>
          <w:p>
            <w:r>
              <w:rPr>
                <w:b/>
                <w:color w:val="FFFFFF"/>
              </w:rPr>
              <w:t>Lernprodukt</w:t>
            </w:r>
          </w:p>
        </w:tc>
        <w:tc>
          <w:tcPr>
            <w:tcW w:type="dxa" w:w="2062"/>
            <w:shd w:fill="00575D"/>
          </w:tcPr>
          <w:p>
            <w:r>
              <w:rPr>
                <w:b/>
                <w:color w:val="FFFFFF"/>
              </w:rPr>
              <w:t>Punkte</w:t>
            </w:r>
          </w:p>
        </w:tc>
        <w:tc>
          <w:tcPr>
            <w:tcW w:type="dxa" w:w="2062"/>
            <w:shd w:fill="00575D"/>
          </w:tcPr>
          <w:p>
            <w:r>
              <w:rPr>
                <w:b/>
                <w:color w:val="FFFFFF"/>
              </w:rPr>
              <w:t>Teilpunkte</w:t>
            </w:r>
          </w:p>
        </w:tc>
      </w:tr>
      <w:tr>
        <w:trPr>
          <w:cantSplit/>
        </w:trPr>
        <w:tc>
          <w:tcPr>
            <w:tcW w:type="dxa" w:w="2062"/>
            <w:shd w:fill="F4F7F8"/>
          </w:tcPr>
          <w:p>
            <w:r>
              <w:t>ML-K01-A01</w:t>
            </w:r>
          </w:p>
        </w:tc>
        <w:tc>
          <w:tcPr>
            <w:tcW w:type="dxa" w:w="2062"/>
            <w:shd w:fill="F4F7F8"/>
          </w:tcPr>
          <w:p>
            <w:r>
              <w:t>BPE 6 BKWI1</w:t>
            </w:r>
          </w:p>
        </w:tc>
        <w:tc>
          <w:tcPr>
            <w:tcW w:type="dxa" w:w="2062"/>
            <w:shd w:fill="F4F7F8"/>
          </w:tcPr>
          <w:p>
            <w:r>
              <w:t>Dreistufige Regel implementieren, Grenzwerte testen und regelbasiert von ML abgrenzen</w:t>
            </w:r>
          </w:p>
        </w:tc>
        <w:tc>
          <w:tcPr>
            <w:tcW w:type="dxa" w:w="2062"/>
            <w:shd w:fill="F4F7F8"/>
          </w:tcPr>
          <w:p>
            <w:r>
              <w:t>20</w:t>
            </w:r>
          </w:p>
        </w:tc>
        <w:tc>
          <w:tcPr>
            <w:tcW w:type="dxa" w:w="2062"/>
            <w:shd w:fill="F4F7F8"/>
          </w:tcPr>
          <w:p>
            <w:r>
              <w:t>Fachlichkeit 6 · Umsetzung 5 · Prüfung 4 · Deutung 3 · Dokumentation 2</w:t>
            </w:r>
          </w:p>
        </w:tc>
      </w:tr>
      <w:tr>
        <w:trPr>
          <w:cantSplit/>
        </w:trPr>
        <w:tc>
          <w:tcPr>
            <w:tcW w:type="dxa" w:w="2062"/>
            <w:shd w:fill="FFFFFF"/>
          </w:tcPr>
          <w:p>
            <w:r>
              <w:t>ML-K02-A01</w:t>
            </w:r>
          </w:p>
        </w:tc>
        <w:tc>
          <w:tcPr>
            <w:tcW w:type="dxa" w:w="2062"/>
            <w:shd w:fill="FFFFFF"/>
          </w:tcPr>
          <w:p>
            <w:r>
              <w:t>BPE 6 BKWI1</w:t>
            </w:r>
          </w:p>
        </w:tc>
        <w:tc>
          <w:tcPr>
            <w:tcW w:type="dxa" w:w="2062"/>
            <w:shd w:fill="FFFFFF"/>
          </w:tcPr>
          <w:p>
            <w:r>
              <w:t>CSV-Struktur, Pfad, Datentypen und Datenfehler prüfen</w:t>
            </w:r>
          </w:p>
        </w:tc>
        <w:tc>
          <w:tcPr>
            <w:tcW w:type="dxa" w:w="2062"/>
            <w:shd w:fill="FFFFFF"/>
          </w:tcPr>
          <w:p>
            <w:r>
              <w:t>20</w:t>
            </w:r>
          </w:p>
        </w:tc>
        <w:tc>
          <w:tcPr>
            <w:tcW w:type="dxa" w:w="2062"/>
            <w:shd w:fill="FFFFFF"/>
          </w:tcPr>
          <w:p>
            <w:r>
              <w:t>Fachlichkeit 6 · Umsetzung 5 · Prüfung 4 · Deutung 3 · Dokumentation 2</w:t>
            </w:r>
          </w:p>
        </w:tc>
      </w:tr>
      <w:tr>
        <w:trPr>
          <w:cantSplit/>
        </w:trPr>
        <w:tc>
          <w:tcPr>
            <w:tcW w:type="dxa" w:w="2062"/>
            <w:shd w:fill="F4F7F8"/>
          </w:tcPr>
          <w:p>
            <w:r>
              <w:t>ML-K03-A01</w:t>
            </w:r>
          </w:p>
        </w:tc>
        <w:tc>
          <w:tcPr>
            <w:tcW w:type="dxa" w:w="2062"/>
            <w:shd w:fill="F4F7F8"/>
          </w:tcPr>
          <w:p>
            <w:r>
              <w:t>BPE 6 BKWI1</w:t>
            </w:r>
          </w:p>
        </w:tc>
        <w:tc>
          <w:tcPr>
            <w:tcW w:type="dxa" w:w="2062"/>
            <w:shd w:fill="F4F7F8"/>
          </w:tcPr>
          <w:p>
            <w:r>
              <w:t>Datensteckbrief, Visualisierung, Aussage und Grenze erstellen</w:t>
            </w:r>
          </w:p>
        </w:tc>
        <w:tc>
          <w:tcPr>
            <w:tcW w:type="dxa" w:w="2062"/>
            <w:shd w:fill="F4F7F8"/>
          </w:tcPr>
          <w:p>
            <w:r>
              <w:t>20</w:t>
            </w:r>
          </w:p>
        </w:tc>
        <w:tc>
          <w:tcPr>
            <w:tcW w:type="dxa" w:w="2062"/>
            <w:shd w:fill="F4F7F8"/>
          </w:tcPr>
          <w:p>
            <w:r>
              <w:t>Fachlichkeit 6 · Umsetzung 5 · Prüfung 4 · Deutung 3 · Dokumentation 2</w:t>
            </w:r>
          </w:p>
        </w:tc>
      </w:tr>
      <w:tr>
        <w:trPr>
          <w:cantSplit/>
        </w:trPr>
        <w:tc>
          <w:tcPr>
            <w:tcW w:type="dxa" w:w="2062"/>
            <w:shd w:fill="FFFFFF"/>
          </w:tcPr>
          <w:p>
            <w:r>
              <w:t>ML-K04-A01</w:t>
            </w:r>
          </w:p>
        </w:tc>
        <w:tc>
          <w:tcPr>
            <w:tcW w:type="dxa" w:w="2062"/>
            <w:shd w:fill="FFFFFF"/>
          </w:tcPr>
          <w:p>
            <w:r>
              <w:t>BPE 6 BKWI1</w:t>
            </w:r>
          </w:p>
        </w:tc>
        <w:tc>
          <w:tcPr>
            <w:tcW w:type="dxa" w:w="2062"/>
            <w:shd w:fill="FFFFFF"/>
          </w:tcPr>
          <w:p>
            <w:r>
              <w:t>Features, Label, Lernart, Verfahren und Datenleck bestimmen</w:t>
            </w:r>
          </w:p>
        </w:tc>
        <w:tc>
          <w:tcPr>
            <w:tcW w:type="dxa" w:w="2062"/>
            <w:shd w:fill="FFFFFF"/>
          </w:tcPr>
          <w:p>
            <w:r>
              <w:t>20</w:t>
            </w:r>
          </w:p>
        </w:tc>
        <w:tc>
          <w:tcPr>
            <w:tcW w:type="dxa" w:w="2062"/>
            <w:shd w:fill="FFFFFF"/>
          </w:tcPr>
          <w:p>
            <w:r>
              <w:t>Fachlichkeit 6 · Umsetzung 5 · Prüfung 4 · Deutung 3 · Dokumentation 2</w:t>
            </w:r>
          </w:p>
        </w:tc>
      </w:tr>
      <w:tr>
        <w:trPr>
          <w:cantSplit/>
        </w:trPr>
        <w:tc>
          <w:tcPr>
            <w:tcW w:type="dxa" w:w="2062"/>
            <w:shd w:fill="F4F7F8"/>
          </w:tcPr>
          <w:p>
            <w:r>
              <w:t>ML-K05-A01</w:t>
            </w:r>
          </w:p>
        </w:tc>
        <w:tc>
          <w:tcPr>
            <w:tcW w:type="dxa" w:w="2062"/>
            <w:shd w:fill="F4F7F8"/>
          </w:tcPr>
          <w:p>
            <w:r>
              <w:t>BPE 6 BKWI1</w:t>
            </w:r>
          </w:p>
        </w:tc>
        <w:tc>
          <w:tcPr>
            <w:tcW w:type="dxa" w:w="2062"/>
            <w:shd w:fill="F4F7F8"/>
          </w:tcPr>
          <w:p>
            <w:r>
              <w:t>Regression trainieren, MAE und Modellgrenzen erklären</w:t>
            </w:r>
          </w:p>
        </w:tc>
        <w:tc>
          <w:tcPr>
            <w:tcW w:type="dxa" w:w="2062"/>
            <w:shd w:fill="F4F7F8"/>
          </w:tcPr>
          <w:p>
            <w:r>
              <w:t>20</w:t>
            </w:r>
          </w:p>
        </w:tc>
        <w:tc>
          <w:tcPr>
            <w:tcW w:type="dxa" w:w="2062"/>
            <w:shd w:fill="F4F7F8"/>
          </w:tcPr>
          <w:p>
            <w:r>
              <w:t>Fachlichkeit 6 · Umsetzung 5 · Prüfung 4 · Deutung 3 · Dokumentation 2</w:t>
            </w:r>
          </w:p>
        </w:tc>
      </w:tr>
      <w:tr>
        <w:trPr>
          <w:cantSplit/>
        </w:trPr>
        <w:tc>
          <w:tcPr>
            <w:tcW w:type="dxa" w:w="2062"/>
            <w:shd w:fill="FFFFFF"/>
          </w:tcPr>
          <w:p>
            <w:r>
              <w:t>ML-K06-A01</w:t>
            </w:r>
          </w:p>
        </w:tc>
        <w:tc>
          <w:tcPr>
            <w:tcW w:type="dxa" w:w="2062"/>
            <w:shd w:fill="FFFFFF"/>
          </w:tcPr>
          <w:p>
            <w:r>
              <w:t>BPE 6 BKWI1</w:t>
            </w:r>
          </w:p>
        </w:tc>
        <w:tc>
          <w:tcPr>
            <w:tcW w:type="dxa" w:w="2062"/>
            <w:shd w:fill="FFFFFF"/>
          </w:tcPr>
          <w:p>
            <w:r>
              <w:t>Entscheidungsbaum und k-NN fair vergleichen</w:t>
            </w:r>
          </w:p>
        </w:tc>
        <w:tc>
          <w:tcPr>
            <w:tcW w:type="dxa" w:w="2062"/>
            <w:shd w:fill="FFFFFF"/>
          </w:tcPr>
          <w:p>
            <w:r>
              <w:t>20</w:t>
            </w:r>
          </w:p>
        </w:tc>
        <w:tc>
          <w:tcPr>
            <w:tcW w:type="dxa" w:w="2062"/>
            <w:shd w:fill="FFFFFF"/>
          </w:tcPr>
          <w:p>
            <w:r>
              <w:t>Fachlichkeit 6 · Umsetzung 5 · Prüfung 4 · Deutung 3 · Dokumentation 2</w:t>
            </w:r>
          </w:p>
        </w:tc>
      </w:tr>
      <w:tr>
        <w:trPr>
          <w:cantSplit/>
        </w:trPr>
        <w:tc>
          <w:tcPr>
            <w:tcW w:type="dxa" w:w="2062"/>
            <w:shd w:fill="F4F7F8"/>
          </w:tcPr>
          <w:p>
            <w:r>
              <w:t>ML-K07-A01</w:t>
            </w:r>
          </w:p>
        </w:tc>
        <w:tc>
          <w:tcPr>
            <w:tcW w:type="dxa" w:w="2062"/>
            <w:shd w:fill="F4F7F8"/>
          </w:tcPr>
          <w:p>
            <w:r>
              <w:t>BPE 6 BKWI1</w:t>
            </w:r>
          </w:p>
        </w:tc>
        <w:tc>
          <w:tcPr>
            <w:tcW w:type="dxa" w:w="2062"/>
            <w:shd w:fill="F4F7F8"/>
          </w:tcPr>
          <w:p>
            <w:r>
              <w:t>k-Means mit Skalierungsprobe durchführen und Cluster vorsichtig beschreiben</w:t>
            </w:r>
          </w:p>
        </w:tc>
        <w:tc>
          <w:tcPr>
            <w:tcW w:type="dxa" w:w="2062"/>
            <w:shd w:fill="F4F7F8"/>
          </w:tcPr>
          <w:p>
            <w:r>
              <w:t>20</w:t>
            </w:r>
          </w:p>
        </w:tc>
        <w:tc>
          <w:tcPr>
            <w:tcW w:type="dxa" w:w="2062"/>
            <w:shd w:fill="F4F7F8"/>
          </w:tcPr>
          <w:p>
            <w:r>
              <w:t>Fachlichkeit 6 · Umsetzung 5 · Prüfung 4 · Deutung 3 · Dokumentation 2</w:t>
            </w:r>
          </w:p>
        </w:tc>
      </w:tr>
      <w:tr>
        <w:trPr>
          <w:cantSplit/>
        </w:trPr>
        <w:tc>
          <w:tcPr>
            <w:tcW w:type="dxa" w:w="2062"/>
            <w:shd w:fill="FFFFFF"/>
          </w:tcPr>
          <w:p>
            <w:r>
              <w:t>ML-K08-A01</w:t>
            </w:r>
          </w:p>
        </w:tc>
        <w:tc>
          <w:tcPr>
            <w:tcW w:type="dxa" w:w="2062"/>
            <w:shd w:fill="FFFFFF"/>
          </w:tcPr>
          <w:p>
            <w:r>
              <w:t>BPE 6 BKWI1</w:t>
            </w:r>
          </w:p>
        </w:tc>
        <w:tc>
          <w:tcPr>
            <w:tcW w:type="dxa" w:w="2062"/>
            <w:shd w:fill="FFFFFF"/>
          </w:tcPr>
          <w:p>
            <w:r>
              <w:t>Baseline, Verwechslungsmatrix, Kennzahlen und Fehlerfälle prüfen</w:t>
            </w:r>
          </w:p>
        </w:tc>
        <w:tc>
          <w:tcPr>
            <w:tcW w:type="dxa" w:w="2062"/>
            <w:shd w:fill="FFFFFF"/>
          </w:tcPr>
          <w:p>
            <w:r>
              <w:t>20</w:t>
            </w:r>
          </w:p>
        </w:tc>
        <w:tc>
          <w:tcPr>
            <w:tcW w:type="dxa" w:w="2062"/>
            <w:shd w:fill="FFFFFF"/>
          </w:tcPr>
          <w:p>
            <w:r>
              <w:t>Fachlichkeit 6 · Umsetzung 5 · Prüfung 4 · Deutung 3 · Dokumentation 2</w:t>
            </w:r>
          </w:p>
        </w:tc>
      </w:tr>
      <w:tr>
        <w:trPr>
          <w:cantSplit/>
        </w:trPr>
        <w:tc>
          <w:tcPr>
            <w:tcW w:type="dxa" w:w="2062"/>
            <w:shd w:fill="F4F7F8"/>
          </w:tcPr>
          <w:p>
            <w:r>
              <w:t>ML-K09-A01</w:t>
            </w:r>
          </w:p>
        </w:tc>
        <w:tc>
          <w:tcPr>
            <w:tcW w:type="dxa" w:w="2062"/>
            <w:shd w:fill="F4F7F8"/>
          </w:tcPr>
          <w:p>
            <w:r>
              <w:t>BPE 6 BKWI1</w:t>
            </w:r>
          </w:p>
        </w:tc>
        <w:tc>
          <w:tcPr>
            <w:tcW w:type="dxa" w:w="2062"/>
            <w:shd w:fill="F4F7F8"/>
          </w:tcPr>
          <w:p>
            <w:r>
              <w:t>Hybriden Lernagenten nach Risiko und menschlicher Kontrolle beurteilen</w:t>
            </w:r>
          </w:p>
        </w:tc>
        <w:tc>
          <w:tcPr>
            <w:tcW w:type="dxa" w:w="2062"/>
            <w:shd w:fill="F4F7F8"/>
          </w:tcPr>
          <w:p>
            <w:r>
              <w:t>20</w:t>
            </w:r>
          </w:p>
        </w:tc>
        <w:tc>
          <w:tcPr>
            <w:tcW w:type="dxa" w:w="2062"/>
            <w:shd w:fill="F4F7F8"/>
          </w:tcPr>
          <w:p>
            <w:r>
              <w:t>Fachlichkeit 6 · Umsetzung 5 · Prüfung 4 · Deutung 3 · Dokumentation 2</w:t>
            </w:r>
          </w:p>
        </w:tc>
      </w:tr>
      <w:tr>
        <w:trPr>
          <w:cantSplit/>
        </w:trPr>
        <w:tc>
          <w:tcPr>
            <w:tcW w:type="dxa" w:w="2062"/>
            <w:shd w:fill="FFFFFF"/>
          </w:tcPr>
          <w:p>
            <w:r>
              <w:t>ML-K10-A01</w:t>
            </w:r>
          </w:p>
        </w:tc>
        <w:tc>
          <w:tcPr>
            <w:tcW w:type="dxa" w:w="2062"/>
            <w:shd w:fill="FFFFFF"/>
          </w:tcPr>
          <w:p>
            <w:r>
              <w:t>BPE 7 BKWI2</w:t>
            </w:r>
          </w:p>
        </w:tc>
        <w:tc>
          <w:tcPr>
            <w:tcW w:type="dxa" w:w="2062"/>
            <w:shd w:fill="FFFFFF"/>
          </w:tcPr>
          <w:p>
            <w:r>
              <w:t>Detail- und Managementansicht für große Datenmengen erstellen</w:t>
            </w:r>
          </w:p>
        </w:tc>
        <w:tc>
          <w:tcPr>
            <w:tcW w:type="dxa" w:w="2062"/>
            <w:shd w:fill="FFFFFF"/>
          </w:tcPr>
          <w:p>
            <w:r>
              <w:t>20</w:t>
            </w:r>
          </w:p>
        </w:tc>
        <w:tc>
          <w:tcPr>
            <w:tcW w:type="dxa" w:w="2062"/>
            <w:shd w:fill="FFFFFF"/>
          </w:tcPr>
          <w:p>
            <w:r>
              <w:t>Fachlichkeit 6 · Umsetzung 5 · Prüfung 4 · Deutung 3 · Dokumentation 2</w:t>
            </w:r>
          </w:p>
        </w:tc>
      </w:tr>
      <w:tr>
        <w:trPr>
          <w:cantSplit/>
        </w:trPr>
        <w:tc>
          <w:tcPr>
            <w:tcW w:type="dxa" w:w="2062"/>
            <w:shd w:fill="F4F7F8"/>
          </w:tcPr>
          <w:p>
            <w:r>
              <w:t>ML-K11-A01</w:t>
            </w:r>
          </w:p>
        </w:tc>
        <w:tc>
          <w:tcPr>
            <w:tcW w:type="dxa" w:w="2062"/>
            <w:shd w:fill="F4F7F8"/>
          </w:tcPr>
          <w:p>
            <w:r>
              <w:t>BPE 7 BKWI2</w:t>
            </w:r>
          </w:p>
        </w:tc>
        <w:tc>
          <w:tcPr>
            <w:tcW w:type="dxa" w:w="2062"/>
            <w:shd w:fill="F4F7F8"/>
          </w:tcPr>
          <w:p>
            <w:r>
              <w:t>Reproduzierbare ML-Pipeline und Modellkarte dokumentieren</w:t>
            </w:r>
          </w:p>
        </w:tc>
        <w:tc>
          <w:tcPr>
            <w:tcW w:type="dxa" w:w="2062"/>
            <w:shd w:fill="F4F7F8"/>
          </w:tcPr>
          <w:p>
            <w:r>
              <w:t>20</w:t>
            </w:r>
          </w:p>
        </w:tc>
        <w:tc>
          <w:tcPr>
            <w:tcW w:type="dxa" w:w="2062"/>
            <w:shd w:fill="F4F7F8"/>
          </w:tcPr>
          <w:p>
            <w:r>
              <w:t>Fachlichkeit 6 · Umsetzung 5 · Prüfung 4 · Deutung 3 · Dokumentation 2</w:t>
            </w:r>
          </w:p>
        </w:tc>
      </w:tr>
      <w:tr>
        <w:trPr>
          <w:cantSplit/>
        </w:trPr>
        <w:tc>
          <w:tcPr>
            <w:tcW w:type="dxa" w:w="2062"/>
            <w:shd w:fill="FFFFFF"/>
          </w:tcPr>
          <w:p>
            <w:r>
              <w:t>ML-K12-A01</w:t>
            </w:r>
          </w:p>
        </w:tc>
        <w:tc>
          <w:tcPr>
            <w:tcW w:type="dxa" w:w="2062"/>
            <w:shd w:fill="FFFFFF"/>
          </w:tcPr>
          <w:p>
            <w:r>
              <w:t>BPE 7 BKWI2</w:t>
            </w:r>
          </w:p>
        </w:tc>
        <w:tc>
          <w:tcPr>
            <w:tcW w:type="dxa" w:w="2062"/>
            <w:shd w:fill="FFFFFF"/>
          </w:tcPr>
          <w:p>
            <w:r>
              <w:t>KI-Werkzeugwahl mit Nutzwert- und Sensitivitätsanalyse begründen</w:t>
            </w:r>
          </w:p>
        </w:tc>
        <w:tc>
          <w:tcPr>
            <w:tcW w:type="dxa" w:w="2062"/>
            <w:shd w:fill="FFFFFF"/>
          </w:tcPr>
          <w:p>
            <w:r>
              <w:t>20</w:t>
            </w:r>
          </w:p>
        </w:tc>
        <w:tc>
          <w:tcPr>
            <w:tcW w:type="dxa" w:w="2062"/>
            <w:shd w:fill="FFFFFF"/>
          </w:tcPr>
          <w:p>
            <w:r>
              <w:t>Fachlichkeit 6 · Umsetzung 5 · Prüfung 4 · Deutung 3 · Dokumentation 2</w:t>
            </w:r>
          </w:p>
        </w:tc>
      </w:tr>
      <w:tr>
        <w:trPr>
          <w:cantSplit/>
        </w:trPr>
        <w:tc>
          <w:tcPr>
            <w:tcW w:type="dxa" w:w="2062"/>
            <w:shd w:fill="F4F7F8"/>
          </w:tcPr>
          <w:p>
            <w:r>
              <w:t>ML-K13-A01</w:t>
            </w:r>
          </w:p>
        </w:tc>
        <w:tc>
          <w:tcPr>
            <w:tcW w:type="dxa" w:w="2062"/>
            <w:shd w:fill="F4F7F8"/>
          </w:tcPr>
          <w:p>
            <w:r>
              <w:t>BPE 7 BKWI2</w:t>
            </w:r>
          </w:p>
        </w:tc>
        <w:tc>
          <w:tcPr>
            <w:tcW w:type="dxa" w:w="2062"/>
            <w:shd w:fill="F4F7F8"/>
          </w:tcPr>
          <w:p>
            <w:r>
              <w:t>Lernagent-Prototyp mit Baseline, Modell, View, Tests und Übergabe entwickeln</w:t>
            </w:r>
          </w:p>
        </w:tc>
        <w:tc>
          <w:tcPr>
            <w:tcW w:type="dxa" w:w="2062"/>
            <w:shd w:fill="F4F7F8"/>
          </w:tcPr>
          <w:p>
            <w:r>
              <w:t>20</w:t>
            </w:r>
          </w:p>
        </w:tc>
        <w:tc>
          <w:tcPr>
            <w:tcW w:type="dxa" w:w="2062"/>
            <w:shd w:fill="F4F7F8"/>
          </w:tcPr>
          <w:p>
            <w:r>
              <w:t>Fachlichkeit 6 · Umsetzung 5 · Prüfung 4 · Deutung 3 · Dokumentation 2</w:t>
            </w:r>
          </w:p>
        </w:tc>
      </w:tr>
    </w:tbl>
    <w:p>
      <w:pPr>
        <w:pStyle w:val="Heading1"/>
      </w:pPr>
      <w:r>
        <w:t>Allgemeine Korrekturhinweise</w:t>
      </w:r>
    </w:p>
    <w:p>
      <w:r>
        <w:t>Folgefehler nicht mehrfach bestrafen. Eine fachlich begründete Alternative erhält Punkte, auch wenn Bibliothek, Diagrammtyp oder Modell vom Beispiel abweichen. Nicht reproduzierbare Ergebnisse, fehlende Testnachweise und unbelegte Kausalbehauptungen begrenzen die Punktzahl.</w:t>
      </w:r>
    </w:p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907" w:right="964" w:bottom="850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HeaderChar">
    <w:name w:val="Header Char"/>
    <w:basedOn w:val="DefaultParagraphFont"/>
    <w:link w:val="Header"/>
    <w:uiPriority w:val="99"/>
    <w:rsid w:val="00E618BF"/>
    <w:rPr>
      <w:lang w:val="de-DE"/>
    </w:r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FooterChar">
    <w:name w:val="Footer Char"/>
    <w:basedOn w:val="DefaultParagraphFont"/>
    <w:link w:val="Footer"/>
    <w:uiPriority w:val="99"/>
    <w:rsid w:val="00E618BF"/>
    <w:rPr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  <w:lang w:val="de-D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  <w:lang w:val="de-D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  <w:rPr>
      <w:lang w:val="de-DE"/>
    </w:rPr>
  </w:style>
  <w:style w:type="table" w:default="1" w:styleId="TableNormal">
    <w:name w:val="Normal Table"/>
    <w:uiPriority w:val="99"/>
    <w:semiHidden/>
    <w:unhideWhenUsed/>
    <w:rPr>
      <w:lang w:val="de-D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Pr>
      <w:lang w:val="de-DE"/>
    </w:rPr>
  </w:style>
  <w:style w:type="paragraph" w:styleId="NoSpacing">
    <w:name w:val="No Spacing"/>
    <w:uiPriority w:val="1"/>
    <w:qFormat/>
    <w:rsid w:val="00FC693F"/>
    <w:pPr>
      <w:spacing w:after="0" w:line="240" w:lineRule="auto"/>
    </w:pPr>
    <w:rPr>
      <w:lang w:val="de-DE"/>
    </w:r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de-DE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lang w:val="de-DE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00575D"/>
      <w:spacing w:val="5"/>
      <w:kern w:val="28"/>
      <w:sz w:val="52"/>
      <w:szCs w:val="52"/>
      <w:lang w:val="de-DE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lang w:val="de-DE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lang w:val="de-DE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  <w:rPr>
      <w:lang w:val="de-DE"/>
    </w:rPr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  <w:rPr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AA1D8D"/>
    <w:rPr>
      <w:lang w:val="de-DE"/>
    </w:rPr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  <w:lang w:val="de-DE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  <w:lang w:val="de-DE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lang w:val="de-DE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  <w:rPr>
      <w:lang w:val="de-DE"/>
    </w:r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  <w:rPr>
      <w:lang w:val="de-DE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lang w:val="de-DE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lang w:val="de-DE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lang w:val="de-DE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lang w:val="de-DE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  <w:rPr>
      <w:lang w:val="de-DE"/>
    </w:r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  <w:rPr>
      <w:lang w:val="de-DE"/>
    </w:r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  <w:rPr>
      <w:lang w:val="de-DE"/>
    </w:r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  <w:rPr>
      <w:lang w:val="de-DE"/>
    </w:r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  <w:rPr>
      <w:lang w:val="de-DE"/>
    </w:r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  <w:lang w:val="de-DE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  <w:lang w:val="de-DE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  <w:lang w:val="de-DE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  <w:lang w:val="de-D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  <w:lang w:val="de-DE"/>
    </w:rPr>
  </w:style>
  <w:style w:type="character" w:styleId="Strong">
    <w:name w:val="Strong"/>
    <w:basedOn w:val="DefaultParagraphFont"/>
    <w:uiPriority w:val="22"/>
    <w:qFormat/>
    <w:rsid w:val="00FC693F"/>
    <w:rPr>
      <w:b/>
      <w:bCs/>
      <w:lang w:val="de-DE"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  <w:lang w:val="de-D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lang w:val="de-D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  <w:lang w:val="de-DE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  <w:lang w:val="de-DE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  <w:lang w:val="de-DE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  <w:lang w:val="de-D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  <w:lang w:val="de-D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  <w:lang w:val="de-D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>
      <w:lang w:val="de-DE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rPr>
      <w:lang w:val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Erwartungshorizonte Machine Learning</dc:title>
  <dc:subject>Unterrichtsskript im einheitlichen EDUCODE LAB Serienmaster R4</dc:subject>
  <dc:creator>Christine Janischek</dc:creator>
  <cp:keywords>Machine Learning, Künstliche Intelligenz, BKWI, Lernagent, BPE 6, BPE 7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