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Variantenvorlage Machine Learning BKWI1</w:t>
            </w:r>
          </w:p>
          <w:p>
            <w:pPr>
              <w:jc w:val="center"/>
            </w:pPr>
            <w:r>
              <w:t>90 Minuten · 60 Punkte · offline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Feste Qualitätsgrenzen</w:t>
      </w:r>
    </w:p>
    <w:p>
      <w:r>
        <w:t>Beibehalten: Lehrplankompetenzen, drei Anforderungsbereiche, 90 Minuten, 60 Punkte, eindeutige Daten, vollständige Lösung, Teilpunkte und Testkriterien. Austauschbar: Kontext, Werte, Diagramm und Datensatz.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78"/>
        <w:gridCol w:w="2578"/>
        <w:gridCol w:w="2578"/>
        <w:gridCol w:w="2578"/>
      </w:tblGrid>
      <w:tr>
        <w:trPr>
          <w:tblHeader w:val="true"/>
        </w:trPr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Teil</w:t>
            </w:r>
          </w:p>
        </w:tc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Fest</w:t>
            </w:r>
          </w:p>
        </w:tc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Austauschbar</w:t>
            </w:r>
          </w:p>
        </w:tc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erneut prüfen</w:t>
            </w:r>
          </w:p>
        </w:tc>
      </w:tr>
      <w:tr>
        <w:trPr>
          <w:cantSplit/>
        </w:trPr>
        <w:tc>
          <w:tcPr>
            <w:tcW w:type="dxa" w:w="2578"/>
            <w:shd w:fill="F4F7F8"/>
          </w:tcPr>
          <w:p>
            <w:r>
              <w:t>A</w:t>
            </w:r>
          </w:p>
        </w:tc>
        <w:tc>
          <w:tcPr>
            <w:tcW w:type="dxa" w:w="2578"/>
            <w:shd w:fill="F4F7F8"/>
          </w:tcPr>
          <w:p>
            <w:r>
              <w:t>Grundbegriffe und Datenrollen</w:t>
            </w:r>
          </w:p>
        </w:tc>
        <w:tc>
          <w:tcPr>
            <w:tcW w:type="dxa" w:w="2578"/>
            <w:shd w:fill="F4F7F8"/>
          </w:tcPr>
          <w:p>
            <w:r>
              <w:t>BWL-Kontext</w:t>
            </w:r>
          </w:p>
        </w:tc>
        <w:tc>
          <w:tcPr>
            <w:tcW w:type="dxa" w:w="2578"/>
            <w:shd w:fill="F4F7F8"/>
          </w:tcPr>
          <w:p>
            <w:r>
              <w:t>Eindeutigkeit und 12 Punkte</w:t>
            </w:r>
          </w:p>
        </w:tc>
      </w:tr>
      <w:tr>
        <w:trPr>
          <w:cantSplit/>
        </w:trPr>
        <w:tc>
          <w:tcPr>
            <w:tcW w:type="dxa" w:w="2578"/>
            <w:shd w:fill="FFFFFF"/>
          </w:tcPr>
          <w:p>
            <w:r>
              <w:t>B</w:t>
            </w:r>
          </w:p>
        </w:tc>
        <w:tc>
          <w:tcPr>
            <w:tcW w:type="dxa" w:w="2578"/>
            <w:shd w:fill="FFFFFF"/>
          </w:tcPr>
          <w:p>
            <w:r>
              <w:t>Verfahren/Workflow</w:t>
            </w:r>
          </w:p>
        </w:tc>
        <w:tc>
          <w:tcPr>
            <w:tcW w:type="dxa" w:w="2578"/>
            <w:shd w:fill="FFFFFF"/>
          </w:tcPr>
          <w:p>
            <w:r>
              <w:t>Datensatz und Werte</w:t>
            </w:r>
          </w:p>
        </w:tc>
        <w:tc>
          <w:tcPr>
            <w:tcW w:type="dxa" w:w="2578"/>
            <w:shd w:fill="FFFFFF"/>
          </w:tcPr>
          <w:p>
            <w:r>
              <w:t>Lösbarkeit und 28 Punkte</w:t>
            </w:r>
          </w:p>
        </w:tc>
      </w:tr>
      <w:tr>
        <w:trPr>
          <w:cantSplit/>
        </w:trPr>
        <w:tc>
          <w:tcPr>
            <w:tcW w:type="dxa" w:w="2578"/>
            <w:shd w:fill="F4F7F8"/>
          </w:tcPr>
          <w:p>
            <w:r>
              <w:t>C</w:t>
            </w:r>
          </w:p>
        </w:tc>
        <w:tc>
          <w:tcPr>
            <w:tcW w:type="dxa" w:w="2578"/>
            <w:shd w:fill="F4F7F8"/>
          </w:tcPr>
          <w:p>
            <w:r>
              <w:t>Bewertung/Transfer</w:t>
            </w:r>
          </w:p>
        </w:tc>
        <w:tc>
          <w:tcPr>
            <w:tcW w:type="dxa" w:w="2578"/>
            <w:shd w:fill="F4F7F8"/>
          </w:tcPr>
          <w:p>
            <w:r>
              <w:t>Risikosituation</w:t>
            </w:r>
          </w:p>
        </w:tc>
        <w:tc>
          <w:tcPr>
            <w:tcW w:type="dxa" w:w="2578"/>
            <w:shd w:fill="F4F7F8"/>
          </w:tcPr>
          <w:p>
            <w:r>
              <w:t>Kriterien und 20 Punkte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Variantenvorlage Machine Learning BKWI1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