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312"/>
      </w:tblGrid>
      <w:tr>
        <w:trPr>
          <w:trHeight w:val="5386"/>
        </w:trPr>
        <w:tc>
          <w:tcPr>
            <w:tcW w:type="dxa" w:w="10312"/>
            <w:shd w:fill="DDF3F2"/>
            <w:vAlign w:val="center"/>
          </w:tcPr>
          <w:p>
            <w:pPr>
              <w:jc w:val="center"/>
            </w:pPr>
            <w:r>
              <w:rPr>
                <w:b/>
                <w:color w:val="00575D"/>
                <w:sz w:val="50"/>
              </w:rPr>
              <w:t>Variantenvorlage Machine Learning BKWI2</w:t>
            </w:r>
          </w:p>
          <w:p>
            <w:pPr>
              <w:jc w:val="center"/>
            </w:pPr>
            <w:r>
              <w:t>90 Minuten · 60 Punkte · offline</w:t>
            </w:r>
          </w:p>
          <w:p>
            <w:pPr>
              <w:jc w:val="center"/>
            </w:pPr>
            <w:r>
              <w:t>Version 1.0 · Schuljahr 2026/2027</w:t>
            </w:r>
          </w:p>
        </w:tc>
      </w:tr>
    </w:tbl>
    <w:p>
      <w:pPr>
        <w:jc w:val="center"/>
      </w:pPr>
      <w:r>
        <w:t>Christine Janischek</w:t>
      </w:r>
    </w:p>
    <w:p>
      <w:r>
        <w:br w:type="page"/>
      </w:r>
    </w:p>
    <w:p>
      <w:pPr>
        <w:pStyle w:val="Heading1"/>
      </w:pPr>
      <w:r>
        <w:t>Feste Qualitätsgrenzen</w:t>
      </w:r>
    </w:p>
    <w:p>
      <w:r>
        <w:t>Beibehalten: Lehrplankompetenzen, drei Anforderungsbereiche, 90 Minuten, 60 Punkte, eindeutige Daten, vollständige Lösung, Teilpunkte und Testkriterien. Austauschbar: Kontext, Werte, Diagramm und Datensatz.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578"/>
        <w:gridCol w:w="2578"/>
        <w:gridCol w:w="2578"/>
        <w:gridCol w:w="2578"/>
      </w:tblGrid>
      <w:tr>
        <w:trPr>
          <w:tblHeader w:val="true"/>
        </w:trPr>
        <w:tc>
          <w:tcPr>
            <w:tcW w:type="dxa" w:w="2578"/>
            <w:shd w:fill="00575D"/>
          </w:tcPr>
          <w:p>
            <w:r>
              <w:rPr>
                <w:b/>
                <w:color w:val="FFFFFF"/>
              </w:rPr>
              <w:t>Teil</w:t>
            </w:r>
          </w:p>
        </w:tc>
        <w:tc>
          <w:tcPr>
            <w:tcW w:type="dxa" w:w="2578"/>
            <w:shd w:fill="00575D"/>
          </w:tcPr>
          <w:p>
            <w:r>
              <w:rPr>
                <w:b/>
                <w:color w:val="FFFFFF"/>
              </w:rPr>
              <w:t>Fest</w:t>
            </w:r>
          </w:p>
        </w:tc>
        <w:tc>
          <w:tcPr>
            <w:tcW w:type="dxa" w:w="2578"/>
            <w:shd w:fill="00575D"/>
          </w:tcPr>
          <w:p>
            <w:r>
              <w:rPr>
                <w:b/>
                <w:color w:val="FFFFFF"/>
              </w:rPr>
              <w:t>Austauschbar</w:t>
            </w:r>
          </w:p>
        </w:tc>
        <w:tc>
          <w:tcPr>
            <w:tcW w:type="dxa" w:w="2578"/>
            <w:shd w:fill="00575D"/>
          </w:tcPr>
          <w:p>
            <w:r>
              <w:rPr>
                <w:b/>
                <w:color w:val="FFFFFF"/>
              </w:rPr>
              <w:t>erneut prüfen</w:t>
            </w:r>
          </w:p>
        </w:tc>
      </w:tr>
      <w:tr>
        <w:trPr>
          <w:cantSplit/>
        </w:trPr>
        <w:tc>
          <w:tcPr>
            <w:tcW w:type="dxa" w:w="2578"/>
            <w:shd w:fill="F4F7F8"/>
          </w:tcPr>
          <w:p>
            <w:r>
              <w:t>A</w:t>
            </w:r>
          </w:p>
        </w:tc>
        <w:tc>
          <w:tcPr>
            <w:tcW w:type="dxa" w:w="2578"/>
            <w:shd w:fill="F4F7F8"/>
          </w:tcPr>
          <w:p>
            <w:r>
              <w:t>Grundbegriffe und Datenrollen</w:t>
            </w:r>
          </w:p>
        </w:tc>
        <w:tc>
          <w:tcPr>
            <w:tcW w:type="dxa" w:w="2578"/>
            <w:shd w:fill="F4F7F8"/>
          </w:tcPr>
          <w:p>
            <w:r>
              <w:t>BWL-Kontext</w:t>
            </w:r>
          </w:p>
        </w:tc>
        <w:tc>
          <w:tcPr>
            <w:tcW w:type="dxa" w:w="2578"/>
            <w:shd w:fill="F4F7F8"/>
          </w:tcPr>
          <w:p>
            <w:r>
              <w:t>Eindeutigkeit und 12 Punkte</w:t>
            </w:r>
          </w:p>
        </w:tc>
      </w:tr>
      <w:tr>
        <w:trPr>
          <w:cantSplit/>
        </w:trPr>
        <w:tc>
          <w:tcPr>
            <w:tcW w:type="dxa" w:w="2578"/>
            <w:shd w:fill="FFFFFF"/>
          </w:tcPr>
          <w:p>
            <w:r>
              <w:t>B</w:t>
            </w:r>
          </w:p>
        </w:tc>
        <w:tc>
          <w:tcPr>
            <w:tcW w:type="dxa" w:w="2578"/>
            <w:shd w:fill="FFFFFF"/>
          </w:tcPr>
          <w:p>
            <w:r>
              <w:t>Verfahren/Workflow</w:t>
            </w:r>
          </w:p>
        </w:tc>
        <w:tc>
          <w:tcPr>
            <w:tcW w:type="dxa" w:w="2578"/>
            <w:shd w:fill="FFFFFF"/>
          </w:tcPr>
          <w:p>
            <w:r>
              <w:t>Datensatz und Werte</w:t>
            </w:r>
          </w:p>
        </w:tc>
        <w:tc>
          <w:tcPr>
            <w:tcW w:type="dxa" w:w="2578"/>
            <w:shd w:fill="FFFFFF"/>
          </w:tcPr>
          <w:p>
            <w:r>
              <w:t>Lösbarkeit und 28 Punkte</w:t>
            </w:r>
          </w:p>
        </w:tc>
      </w:tr>
      <w:tr>
        <w:trPr>
          <w:cantSplit/>
        </w:trPr>
        <w:tc>
          <w:tcPr>
            <w:tcW w:type="dxa" w:w="2578"/>
            <w:shd w:fill="F4F7F8"/>
          </w:tcPr>
          <w:p>
            <w:r>
              <w:t>C</w:t>
            </w:r>
          </w:p>
        </w:tc>
        <w:tc>
          <w:tcPr>
            <w:tcW w:type="dxa" w:w="2578"/>
            <w:shd w:fill="F4F7F8"/>
          </w:tcPr>
          <w:p>
            <w:r>
              <w:t>Bewertung/Transfer</w:t>
            </w:r>
          </w:p>
        </w:tc>
        <w:tc>
          <w:tcPr>
            <w:tcW w:type="dxa" w:w="2578"/>
            <w:shd w:fill="F4F7F8"/>
          </w:tcPr>
          <w:p>
            <w:r>
              <w:t>Risikosituation</w:t>
            </w:r>
          </w:p>
        </w:tc>
        <w:tc>
          <w:tcPr>
            <w:tcW w:type="dxa" w:w="2578"/>
            <w:shd w:fill="F4F7F8"/>
          </w:tcPr>
          <w:p>
            <w:r>
              <w:t>Kriterien und 20 Punkte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907" w:right="964" w:bottom="850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HeaderChar">
    <w:name w:val="Header Char"/>
    <w:basedOn w:val="DefaultParagraphFont"/>
    <w:link w:val="Header"/>
    <w:uiPriority w:val="99"/>
    <w:rsid w:val="00E618BF"/>
    <w:rPr>
      <w:lang w:val="de-DE"/>
    </w:r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FooterChar">
    <w:name w:val="Footer Char"/>
    <w:basedOn w:val="DefaultParagraphFont"/>
    <w:link w:val="Footer"/>
    <w:uiPriority w:val="99"/>
    <w:rsid w:val="00E618BF"/>
    <w:rPr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  <w:lang w:val="de-D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  <w:lang w:val="de-D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  <w:rPr>
      <w:lang w:val="de-DE"/>
    </w:rPr>
  </w:style>
  <w:style w:type="table" w:default="1" w:styleId="TableNormal">
    <w:name w:val="Normal Table"/>
    <w:uiPriority w:val="99"/>
    <w:semiHidden/>
    <w:unhideWhenUsed/>
    <w:rPr>
      <w:lang w:val="de-D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Pr>
      <w:lang w:val="de-DE"/>
    </w:rPr>
  </w:style>
  <w:style w:type="paragraph" w:styleId="NoSpacing">
    <w:name w:val="No Spacing"/>
    <w:uiPriority w:val="1"/>
    <w:qFormat/>
    <w:rsid w:val="00FC693F"/>
    <w:pPr>
      <w:spacing w:after="0" w:line="240" w:lineRule="auto"/>
    </w:pPr>
    <w:rPr>
      <w:lang w:val="de-DE"/>
    </w:r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de-DE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lang w:val="de-DE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00575D"/>
      <w:spacing w:val="5"/>
      <w:kern w:val="28"/>
      <w:sz w:val="52"/>
      <w:szCs w:val="52"/>
      <w:lang w:val="de-DE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lang w:val="de-DE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lang w:val="de-DE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  <w:rPr>
      <w:lang w:val="de-DE"/>
    </w:rPr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  <w:rPr>
      <w:lang w:val="de-DE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  <w:lang w:val="de-DE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  <w:lang w:val="de-DE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lang w:val="de-DE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  <w:rPr>
      <w:lang w:val="de-DE"/>
    </w:r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  <w:rPr>
      <w:lang w:val="de-DE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lang w:val="de-DE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lang w:val="de-DE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lang w:val="de-DE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lang w:val="de-DE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  <w:rPr>
      <w:lang w:val="de-DE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  <w:rPr>
      <w:lang w:val="de-DE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  <w:rPr>
      <w:lang w:val="de-DE"/>
    </w:r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  <w:rPr>
      <w:lang w:val="de-DE"/>
    </w:r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  <w:rPr>
      <w:lang w:val="de-DE"/>
    </w:r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  <w:lang w:val="de-DE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  <w:lang w:val="de-DE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  <w:lang w:val="de-DE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  <w:lang w:val="de-D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  <w:lang w:val="de-DE"/>
    </w:rPr>
  </w:style>
  <w:style w:type="character" w:styleId="Strong">
    <w:name w:val="Strong"/>
    <w:basedOn w:val="DefaultParagraphFont"/>
    <w:uiPriority w:val="22"/>
    <w:qFormat/>
    <w:rsid w:val="00FC693F"/>
    <w:rPr>
      <w:b/>
      <w:bCs/>
      <w:lang w:val="de-DE"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  <w:lang w:val="de-D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val="de-D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  <w:lang w:val="de-DE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  <w:lang w:val="de-DE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  <w:lang w:val="de-DE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  <w:lang w:val="de-D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  <w:lang w:val="de-D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  <w:lang w:val="de-D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>
      <w:lang w:val="de-DE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rPr>
      <w:lang w:val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Variantenvorlage Machine Learning BKWI2</dc:title>
  <dc:subject>Unterrichtsskript im einheitlichen EDUCODE LAB Serienmaster R4</dc:subject>
  <dc:creator>Christine Janischek</dc:creator>
  <cp:keywords>Machine Learning, Künstliche Intelligenz, BKWI, Lernagent, BPE 6, BPE 7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