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Subtitle"/>
      </w:pPr>
      <w:r>
        <w:t>EDUCODE LAB · OBJEKTORIENTIERTE SYSTEMENTWICKLUNG</w:t>
      </w:r>
    </w:p>
    <w:p>
      <w:pPr>
        <w:pStyle w:val="Title"/>
      </w:pPr>
      <w:r>
        <w:t>LEHRKRAFTFASSUNG · BERUFLICHES GYMNASIUM</w:t>
      </w:r>
    </w:p>
    <w:p>
      <w:pPr>
        <w:pStyle w:val="Heading1"/>
      </w:pPr>
      <w:r>
        <w:t>Musterlösung und Erwartungshorizont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09"/>
        <w:gridCol w:w="2409"/>
        <w:gridCol w:w="2409"/>
        <w:gridCol w:w="2409"/>
      </w:tblGrid>
      <w:tr>
        <w:tc>
          <w:tcPr>
            <w:tcW w:type="dxa" w:w="2409"/>
            <w:vAlign w:val="center"/>
            <w:shd w:fill="D9EFEA"/>
          </w:tcPr>
          <w:p>
            <w:r>
              <w:t>Name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Klasse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Datum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Punkte</w:t>
            </w:r>
          </w:p>
        </w:tc>
      </w:tr>
      <w:tr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>
              <w:t>___ / 50</w:t>
            </w:r>
          </w:p>
        </w:tc>
      </w:tr>
    </w:tbl>
    <w:p>
      <w:r>
        <w:t>Bearbeitungszeit: 90 Minuten · Gesamtpunktzahl: 50 · Arbeitsfassung v1.2</w:t>
      </w:r>
    </w:p>
    <w:p>
      <w:r>
        <w:t>Hilfsmittel: Entwicklungsumgebung und Structogrammer nach schulischer Festlegung. KI-Systeme nur, wenn die Lehrkraft dies ausdrücklich erlaubt.</w:t>
      </w:r>
    </w:p>
    <w:p>
      <w:pPr>
        <w:pStyle w:val="Heading1"/>
      </w:pPr>
      <w:r>
        <w:t>Kompetenzzuordnung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213"/>
        <w:gridCol w:w="3213"/>
        <w:gridCol w:w="3213"/>
      </w:tblGrid>
      <w:tr>
        <w:tc>
          <w:tcPr>
            <w:tcW w:type="dxa" w:w="3213"/>
            <w:shd w:fill="D9EFEA"/>
          </w:tcPr>
          <w:p>
            <w:r>
              <w:t>Aufgabe</w:t>
            </w:r>
          </w:p>
        </w:tc>
        <w:tc>
          <w:tcPr>
            <w:tcW w:type="dxa" w:w="3213"/>
            <w:shd w:fill="D9EFEA"/>
          </w:tcPr>
          <w:p>
            <w:r>
              <w:t>Lehrplanbezug</w:t>
            </w:r>
          </w:p>
        </w:tc>
        <w:tc>
          <w:tcPr>
            <w:tcW w:type="dxa" w:w="3213"/>
            <w:shd w:fill="D9EFEA"/>
          </w:tcPr>
          <w:p>
            <w:r>
              <w:t>Kompetenz</w:t>
            </w:r>
          </w:p>
        </w:tc>
      </w:tr>
      <w:tr>
        <w:tc>
          <w:tcPr>
            <w:tcW w:type="dxa" w:w="3213"/>
          </w:tcPr>
          <w:p>
            <w:r>
              <w:t>1</w:t>
            </w:r>
          </w:p>
        </w:tc>
        <w:tc>
          <w:tcPr>
            <w:tcW w:type="dxa" w:w="3213"/>
          </w:tcPr>
          <w:p>
            <w:r>
              <w:t>BPE 5.1/5.3</w:t>
            </w:r>
          </w:p>
        </w:tc>
        <w:tc>
          <w:tcPr>
            <w:tcW w:type="dxa" w:w="3213"/>
          </w:tcPr>
          <w:p>
            <w:r>
              <w:t>Klassen, Objekte, Assoziation, UML</w:t>
            </w:r>
          </w:p>
        </w:tc>
      </w:tr>
      <w:tr>
        <w:tc>
          <w:tcPr>
            <w:tcW w:type="dxa" w:w="3213"/>
          </w:tcPr>
          <w:p>
            <w:r>
              <w:t>2</w:t>
            </w:r>
          </w:p>
        </w:tc>
        <w:tc>
          <w:tcPr>
            <w:tcW w:type="dxa" w:w="3213"/>
          </w:tcPr>
          <w:p>
            <w:r>
              <w:t>BPE 5.1</w:t>
            </w:r>
          </w:p>
        </w:tc>
        <w:tc>
          <w:tcPr>
            <w:tcW w:type="dxa" w:w="3213"/>
          </w:tcPr>
          <w:p>
            <w:r>
              <w:t>Konstruktor, Kapselung, Validierung</w:t>
            </w:r>
          </w:p>
        </w:tc>
      </w:tr>
      <w:tr>
        <w:tc>
          <w:tcPr>
            <w:tcW w:type="dxa" w:w="3213"/>
          </w:tcPr>
          <w:p>
            <w:r>
              <w:t>3</w:t>
            </w:r>
          </w:p>
        </w:tc>
        <w:tc>
          <w:tcPr>
            <w:tcW w:type="dxa" w:w="3213"/>
          </w:tcPr>
          <w:p>
            <w:r>
              <w:t>BPE 5.2</w:t>
            </w:r>
          </w:p>
        </w:tc>
        <w:tc>
          <w:tcPr>
            <w:tcW w:type="dxa" w:w="3213"/>
          </w:tcPr>
          <w:p>
            <w:r>
              <w:t>Kontrollstruktur, Struktogramm, Methode</w:t>
            </w:r>
          </w:p>
        </w:tc>
      </w:tr>
      <w:tr>
        <w:tc>
          <w:tcPr>
            <w:tcW w:type="dxa" w:w="3213"/>
          </w:tcPr>
          <w:p>
            <w:r>
              <w:t>4</w:t>
            </w:r>
          </w:p>
        </w:tc>
        <w:tc>
          <w:tcPr>
            <w:tcW w:type="dxa" w:w="3213"/>
          </w:tcPr>
          <w:p>
            <w:r>
              <w:t>BPE 5.3</w:t>
            </w:r>
          </w:p>
        </w:tc>
        <w:tc>
          <w:tcPr>
            <w:tcW w:type="dxa" w:w="3213"/>
          </w:tcPr>
          <w:p>
            <w:r>
              <w:t>Generalisierung, Spezialisierung, Überschreiben</w:t>
            </w:r>
          </w:p>
        </w:tc>
      </w:tr>
      <w:tr>
        <w:tc>
          <w:tcPr>
            <w:tcW w:type="dxa" w:w="3213"/>
          </w:tcPr>
          <w:p>
            <w:r>
              <w:t>5</w:t>
            </w:r>
          </w:p>
        </w:tc>
        <w:tc>
          <w:tcPr>
            <w:tcW w:type="dxa" w:w="3213"/>
          </w:tcPr>
          <w:p>
            <w:r>
              <w:t>BPE 5.4</w:t>
            </w:r>
          </w:p>
        </w:tc>
        <w:tc>
          <w:tcPr>
            <w:tcW w:type="dxa" w:w="3213"/>
          </w:tcPr>
          <w:p>
            <w:r>
              <w:t>GUI, Ereignis, Typumwandlung, Exception</w:t>
            </w:r>
          </w:p>
        </w:tc>
      </w:tr>
    </w:tbl>
    <w:p>
      <w:pPr>
        <w:pStyle w:val="Heading2"/>
      </w:pPr>
      <w:r>
        <w:t>Musterlösung Aufgabe 1</w:t>
      </w:r>
    </w:p>
    <w:p>
      <w:r>
        <w:t>Medium 1 – 0..* Ausleihe; private Attribute; Gebührenberechnung bei Ausleihe, weil sie Ausleihtage besitzt.</w:t>
      </w:r>
    </w:p>
    <w:p>
      <w:pPr>
        <w:pStyle w:val="Heading2"/>
      </w:pPr>
      <w:r>
        <w:t>Musterlösung Aufgabe 2</w:t>
      </w:r>
    </w:p>
    <w:p>
      <w:r>
        <w:t>Konstruktor prüft `mediennummer == null || isBlank()` und `tage &lt; 0`; Attribute private/final; gezielte Getter.</w:t>
      </w:r>
    </w:p>
    <w:p>
      <w:pPr>
        <w:pStyle w:val="Heading2"/>
      </w:pPr>
      <w:r>
        <w:t>Musterlösung Aufgabe 3</w:t>
      </w:r>
    </w:p>
    <w:p>
      <w:r>
        <w:t>`Math.min(Math.max(0, tage-14)*0.50, 10.0)` oder gleichwertige Verzweigung. Ergebnisse: 0→0; 14→0; 15→0,50; 40→10.</w:t>
      </w:r>
    </w:p>
    <w:p>
      <w:pPr>
        <w:pStyle w:val="Heading2"/>
      </w:pPr>
      <w:r>
        <w:t>Musterlösung Aufgabe 4</w:t>
      </w:r>
    </w:p>
    <w:p>
      <w:r>
        <w:t>Medium ist allgemeiner Typ; Buch spezialisiert ihn. `@Override beschreibung()` bleibt mit gleichem Rückgabetyp und sinnvoller Semantik substituierbar.</w:t>
      </w:r>
    </w:p>
    <w:p>
      <w:pPr>
        <w:pStyle w:val="Heading2"/>
      </w:pPr>
      <w:r>
        <w:t>Musterlösung Aufgabe 5</w:t>
      </w:r>
    </w:p>
    <w:p>
      <w:r>
        <w:t>View liest Text; Ereignisbehandlung konvertiert und fängt NumberFormatException; Modell prüft Fachwerte und berechnet; View zeigt Ergebnis oder verständlichen Fehler.</w:t>
      </w:r>
    </w:p>
    <w:p>
      <w:pPr>
        <w:pStyle w:val="Heading1"/>
      </w:pPr>
      <w:r>
        <w:t>Bewertungsraster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213"/>
        <w:gridCol w:w="3213"/>
        <w:gridCol w:w="3213"/>
      </w:tblGrid>
      <w:tr>
        <w:tc>
          <w:tcPr>
            <w:tcW w:type="dxa" w:w="3213"/>
            <w:shd w:fill="D9EFEA"/>
          </w:tcPr>
          <w:p>
            <w:r>
              <w:t>Bereich</w:t>
            </w:r>
          </w:p>
        </w:tc>
        <w:tc>
          <w:tcPr>
            <w:tcW w:type="dxa" w:w="3213"/>
            <w:shd w:fill="D9EFEA"/>
          </w:tcPr>
          <w:p>
            <w:r>
              <w:t>Beobachtbare Kriterien</w:t>
            </w:r>
          </w:p>
        </w:tc>
        <w:tc>
          <w:tcPr>
            <w:tcW w:type="dxa" w:w="3213"/>
            <w:shd w:fill="D9EFEA"/>
          </w:tcPr>
          <w:p>
            <w:r>
              <w:t>Punkte</w:t>
            </w:r>
          </w:p>
        </w:tc>
      </w:tr>
      <w:tr>
        <w:tc>
          <w:tcPr>
            <w:tcW w:type="dxa" w:w="3213"/>
          </w:tcPr>
          <w:p>
            <w:r>
              <w:t>UML</w:t>
            </w:r>
          </w:p>
        </w:tc>
        <w:tc>
          <w:tcPr>
            <w:tcW w:type="dxa" w:w="3213"/>
          </w:tcPr>
          <w:p>
            <w:r>
              <w:t>Klassen 2 · Attribute/Typen 3 · Sichtbarkeit/Operationen 3 · Beziehung/Multiplizität 2 · Begründung 2</w:t>
            </w:r>
          </w:p>
        </w:tc>
        <w:tc>
          <w:tcPr>
            <w:tcW w:type="dxa" w:w="3213"/>
          </w:tcPr>
          <w:p>
            <w:r>
              <w:t>12</w:t>
            </w:r>
          </w:p>
        </w:tc>
      </w:tr>
      <w:tr>
        <w:tc>
          <w:tcPr>
            <w:tcW w:type="dxa" w:w="3213"/>
          </w:tcPr>
          <w:p>
            <w:r>
              <w:t>Kapselung</w:t>
            </w:r>
          </w:p>
        </w:tc>
        <w:tc>
          <w:tcPr>
            <w:tcW w:type="dxa" w:w="3213"/>
          </w:tcPr>
          <w:p>
            <w:r>
              <w:t>private/final 2 · Konstruktor 3 · Validierung 3 · gezielter Zugriff 2</w:t>
            </w:r>
          </w:p>
        </w:tc>
        <w:tc>
          <w:tcPr>
            <w:tcW w:type="dxa" w:w="3213"/>
          </w:tcPr>
          <w:p>
            <w:r>
              <w:t>10</w:t>
            </w:r>
          </w:p>
        </w:tc>
      </w:tr>
      <w:tr>
        <w:tc>
          <w:tcPr>
            <w:tcW w:type="dxa" w:w="3213"/>
          </w:tcPr>
          <w:p>
            <w:r>
              <w:t>Ablauf/Code</w:t>
            </w:r>
          </w:p>
        </w:tc>
        <w:tc>
          <w:tcPr>
            <w:tcW w:type="dxa" w:w="3213"/>
          </w:tcPr>
          <w:p>
            <w:r>
              <w:t>Struktogramm 4 · Verzweigung/Berechnung 3 · Maximum/Grenzfälle 3</w:t>
            </w:r>
          </w:p>
        </w:tc>
        <w:tc>
          <w:tcPr>
            <w:tcW w:type="dxa" w:w="3213"/>
          </w:tcPr>
          <w:p>
            <w:r>
              <w:t>10</w:t>
            </w:r>
          </w:p>
        </w:tc>
      </w:tr>
      <w:tr>
        <w:tc>
          <w:tcPr>
            <w:tcW w:type="dxa" w:w="3213"/>
          </w:tcPr>
          <w:p>
            <w:r>
              <w:t>Vererbung</w:t>
            </w:r>
          </w:p>
        </w:tc>
        <w:tc>
          <w:tcPr>
            <w:tcW w:type="dxa" w:w="3213"/>
          </w:tcPr>
          <w:p>
            <w:r>
              <w:t>Begriffe 3 · extends 2 · Override 2 · Vertrag 1</w:t>
            </w:r>
          </w:p>
        </w:tc>
        <w:tc>
          <w:tcPr>
            <w:tcW w:type="dxa" w:w="3213"/>
          </w:tcPr>
          <w:p>
            <w:r>
              <w:t>8</w:t>
            </w:r>
          </w:p>
        </w:tc>
      </w:tr>
      <w:tr>
        <w:tc>
          <w:tcPr>
            <w:tcW w:type="dxa" w:w="3213"/>
          </w:tcPr>
          <w:p>
            <w:r>
              <w:t>GUI/Schichten</w:t>
            </w:r>
          </w:p>
        </w:tc>
        <w:tc>
          <w:tcPr>
            <w:tcW w:type="dxa" w:w="3213"/>
          </w:tcPr>
          <w:p>
            <w:r>
              <w:t>Zuordnung 3 · Ereignis 2 · parse 2 · Exception 2 · Fachregel außerhalb GUI 1</w:t>
            </w:r>
          </w:p>
        </w:tc>
        <w:tc>
          <w:tcPr>
            <w:tcW w:type="dxa" w:w="3213"/>
          </w:tcPr>
          <w:p>
            <w:r>
              <w:t>10</w:t>
            </w:r>
          </w:p>
        </w:tc>
      </w:tr>
    </w:tbl>
    <w:p>
      <w:r>
        <w:t>Notenschlüssel für 50 Punkte: ab 95 % sehr gut · ab 80 % gut · ab 65 % befriedigend · ab 50 % ausreichend · ab 30 % mangelhaft · darunter ungenügend. Schulisch verbindliche Vorgaben gehen vor.</w:t>
      </w:r>
    </w:p>
    <w:p>
      <w:pPr>
        <w:pStyle w:val="Heading1"/>
      </w:pPr>
      <w:r>
        <w:t>Typische Fehler und Alternativen</w:t>
      </w:r>
    </w:p>
    <w:p>
      <w:r>
        <w:t>Typische Fehler: Gebührenformel in der GUI, fehlende Obergrenze, öffentliche Attribute, catch(Exception) ohne verständliche Meldung. Zulässig sind gleichwertige Klassennamen und if/else statt mathematischer Kurzform, sofern alle Grenzfälle stimmen.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erif" w:hAnsi="Noto Serif"/>
      <w:b/>
      <w:color w:val="176B62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BG – Musterlösung Objektorientierte Softwareentwicklung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