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Subtitle"/>
      </w:pPr>
      <w:r>
        <w:t>EDUCODE LAB · OBJEKTORIENTIERTE SYSTEMENTWICKLUNG</w:t>
      </w:r>
    </w:p>
    <w:p>
      <w:pPr>
        <w:pStyle w:val="Title"/>
      </w:pPr>
      <w:r>
        <w:t>LEHRKRAFTFASSUNG · BKWI2</w:t>
      </w:r>
    </w:p>
    <w:p>
      <w:pPr>
        <w:pStyle w:val="Heading1"/>
      </w:pPr>
      <w:r>
        <w:t>Musterlösung und Erwartungshorizont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409"/>
        <w:gridCol w:w="2409"/>
        <w:gridCol w:w="2409"/>
        <w:gridCol w:w="2409"/>
      </w:tblGrid>
      <w:tr>
        <w:tc>
          <w:tcPr>
            <w:tcW w:type="dxa" w:w="2409"/>
            <w:vAlign w:val="center"/>
            <w:shd w:fill="D9EFEA"/>
          </w:tcPr>
          <w:p>
            <w:r>
              <w:t>Name</w:t>
            </w:r>
          </w:p>
        </w:tc>
        <w:tc>
          <w:tcPr>
            <w:tcW w:type="dxa" w:w="2409"/>
            <w:vAlign w:val="center"/>
            <w:shd w:fill="D9EFEA"/>
          </w:tcPr>
          <w:p>
            <w:r>
              <w:t>Klasse</w:t>
            </w:r>
          </w:p>
        </w:tc>
        <w:tc>
          <w:tcPr>
            <w:tcW w:type="dxa" w:w="2409"/>
            <w:vAlign w:val="center"/>
            <w:shd w:fill="D9EFEA"/>
          </w:tcPr>
          <w:p>
            <w:r>
              <w:t>Datum</w:t>
            </w:r>
          </w:p>
        </w:tc>
        <w:tc>
          <w:tcPr>
            <w:tcW w:type="dxa" w:w="2409"/>
            <w:vAlign w:val="center"/>
            <w:shd w:fill="D9EFEA"/>
          </w:tcPr>
          <w:p>
            <w:r>
              <w:t>Punkte</w:t>
            </w:r>
          </w:p>
        </w:tc>
      </w:tr>
      <w:tr>
        <w:tc>
          <w:tcPr>
            <w:tcW w:type="dxa" w:w="2409"/>
            <w:vAlign w:val="center"/>
          </w:tcPr>
          <w:p>
            <w:r/>
          </w:p>
        </w:tc>
        <w:tc>
          <w:tcPr>
            <w:tcW w:type="dxa" w:w="2409"/>
            <w:vAlign w:val="center"/>
          </w:tcPr>
          <w:p>
            <w:r/>
          </w:p>
        </w:tc>
        <w:tc>
          <w:tcPr>
            <w:tcW w:type="dxa" w:w="2409"/>
            <w:vAlign w:val="center"/>
          </w:tcPr>
          <w:p>
            <w:r/>
          </w:p>
        </w:tc>
        <w:tc>
          <w:tcPr>
            <w:tcW w:type="dxa" w:w="2409"/>
            <w:vAlign w:val="center"/>
          </w:tcPr>
          <w:p>
            <w:r>
              <w:t>___ / 70</w:t>
            </w:r>
          </w:p>
        </w:tc>
      </w:tr>
    </w:tbl>
    <w:p>
      <w:r>
        <w:t>Bearbeitungszeit: 120 Minuten · Gesamtpunktzahl: 70 · Arbeitsfassung v1.2</w:t>
      </w:r>
    </w:p>
    <w:p>
      <w:r>
        <w:t>Hilfsmittel: Entwicklungsumgebung und Structogrammer nach schulischer Festlegung. KI-Systeme nur, wenn die Lehrkraft dies ausdrücklich erlaubt.</w:t>
      </w:r>
    </w:p>
    <w:p>
      <w:pPr>
        <w:pStyle w:val="Heading1"/>
      </w:pPr>
      <w:r>
        <w:t>Kompetenzzuordnung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3213"/>
        <w:gridCol w:w="3213"/>
        <w:gridCol w:w="3213"/>
      </w:tblGrid>
      <w:tr>
        <w:tc>
          <w:tcPr>
            <w:tcW w:type="dxa" w:w="3213"/>
            <w:shd w:fill="D9EFEA"/>
          </w:tcPr>
          <w:p>
            <w:r>
              <w:t>Aufgabe</w:t>
            </w:r>
          </w:p>
        </w:tc>
        <w:tc>
          <w:tcPr>
            <w:tcW w:type="dxa" w:w="3213"/>
            <w:shd w:fill="D9EFEA"/>
          </w:tcPr>
          <w:p>
            <w:r>
              <w:t>Lehrplanbezug</w:t>
            </w:r>
          </w:p>
        </w:tc>
        <w:tc>
          <w:tcPr>
            <w:tcW w:type="dxa" w:w="3213"/>
            <w:shd w:fill="D9EFEA"/>
          </w:tcPr>
          <w:p>
            <w:r>
              <w:t>Kompetenz</w:t>
            </w:r>
          </w:p>
        </w:tc>
      </w:tr>
      <w:tr>
        <w:tc>
          <w:tcPr>
            <w:tcW w:type="dxa" w:w="3213"/>
          </w:tcPr>
          <w:p>
            <w:r>
              <w:t>1</w:t>
            </w:r>
          </w:p>
        </w:tc>
        <w:tc>
          <w:tcPr>
            <w:tcW w:type="dxa" w:w="3213"/>
          </w:tcPr>
          <w:p>
            <w:r>
              <w:t>BPE 8.1</w:t>
            </w:r>
          </w:p>
        </w:tc>
        <w:tc>
          <w:tcPr>
            <w:tcW w:type="dxa" w:w="3213"/>
          </w:tcPr>
          <w:p>
            <w:r>
              <w:t>Klassen, Interfaces, Assoziation, UML</w:t>
            </w:r>
          </w:p>
        </w:tc>
      </w:tr>
      <w:tr>
        <w:tc>
          <w:tcPr>
            <w:tcW w:type="dxa" w:w="3213"/>
          </w:tcPr>
          <w:p>
            <w:r>
              <w:t>2</w:t>
            </w:r>
          </w:p>
        </w:tc>
        <w:tc>
          <w:tcPr>
            <w:tcW w:type="dxa" w:w="3213"/>
          </w:tcPr>
          <w:p>
            <w:r>
              <w:t>BPE 8.1</w:t>
            </w:r>
          </w:p>
        </w:tc>
        <w:tc>
          <w:tcPr>
            <w:tcW w:type="dxa" w:w="3213"/>
          </w:tcPr>
          <w:p>
            <w:r>
              <w:t>Polymorphie und Überschreiben</w:t>
            </w:r>
          </w:p>
        </w:tc>
      </w:tr>
      <w:tr>
        <w:tc>
          <w:tcPr>
            <w:tcW w:type="dxa" w:w="3213"/>
          </w:tcPr>
          <w:p>
            <w:r>
              <w:t>3</w:t>
            </w:r>
          </w:p>
        </w:tc>
        <w:tc>
          <w:tcPr>
            <w:tcW w:type="dxa" w:w="3213"/>
          </w:tcPr>
          <w:p>
            <w:r>
              <w:t>BPE 8.2/8.3</w:t>
            </w:r>
          </w:p>
        </w:tc>
        <w:tc>
          <w:tcPr>
            <w:tcW w:type="dxa" w:w="3213"/>
          </w:tcPr>
          <w:p>
            <w:r>
              <w:t>MVC und Schichten</w:t>
            </w:r>
          </w:p>
        </w:tc>
      </w:tr>
      <w:tr>
        <w:tc>
          <w:tcPr>
            <w:tcW w:type="dxa" w:w="3213"/>
          </w:tcPr>
          <w:p>
            <w:r>
              <w:t>4</w:t>
            </w:r>
          </w:p>
        </w:tc>
        <w:tc>
          <w:tcPr>
            <w:tcW w:type="dxa" w:w="3213"/>
          </w:tcPr>
          <w:p>
            <w:r>
              <w:t>BPE 8.3</w:t>
            </w:r>
          </w:p>
        </w:tc>
        <w:tc>
          <w:tcPr>
            <w:tcW w:type="dxa" w:w="3213"/>
          </w:tcPr>
          <w:p>
            <w:r>
              <w:t>JDBC, CRUD, ResultSet, Container</w:t>
            </w:r>
          </w:p>
        </w:tc>
      </w:tr>
      <w:tr>
        <w:tc>
          <w:tcPr>
            <w:tcW w:type="dxa" w:w="3213"/>
          </w:tcPr>
          <w:p>
            <w:r>
              <w:t>5</w:t>
            </w:r>
          </w:p>
        </w:tc>
        <w:tc>
          <w:tcPr>
            <w:tcW w:type="dxa" w:w="3213"/>
          </w:tcPr>
          <w:p>
            <w:r>
              <w:t>BPE 8.3</w:t>
            </w:r>
          </w:p>
        </w:tc>
        <w:tc>
          <w:tcPr>
            <w:tcW w:type="dxa" w:w="3213"/>
          </w:tcPr>
          <w:p>
            <w:r>
              <w:t>SQL-Injection, Prepared Statement, Hashing/Verschlüsselung</w:t>
            </w:r>
          </w:p>
        </w:tc>
      </w:tr>
      <w:tr>
        <w:tc>
          <w:tcPr>
            <w:tcW w:type="dxa" w:w="3213"/>
          </w:tcPr>
          <w:p>
            <w:r>
              <w:t>6</w:t>
            </w:r>
          </w:p>
        </w:tc>
        <w:tc>
          <w:tcPr>
            <w:tcW w:type="dxa" w:w="3213"/>
          </w:tcPr>
          <w:p>
            <w:r>
              <w:t>BPE 8.1–8.3</w:t>
            </w:r>
          </w:p>
        </w:tc>
        <w:tc>
          <w:tcPr>
            <w:tcW w:type="dxa" w:w="3213"/>
          </w:tcPr>
          <w:p>
            <w:r>
              <w:t>Testing, Refactoring, Erweiterbarkeit</w:t>
            </w:r>
          </w:p>
        </w:tc>
      </w:tr>
    </w:tbl>
    <w:p>
      <w:pPr>
        <w:pStyle w:val="Heading2"/>
      </w:pPr>
      <w:r>
        <w:t>Musterlösung Aufgabe 1</w:t>
      </w:r>
    </w:p>
    <w:p>
      <w:r>
        <w:t>Team aggregiert 0..* Mitglieder; Mitglied implementiert Beitragspflicht. Beitragspflicht definiert `double beitrag()`. Attribute privat, fachliche Methoden statt pauschaler Setter.</w:t>
      </w:r>
    </w:p>
    <w:p>
      <w:pPr>
        <w:pStyle w:val="Heading2"/>
      </w:pPr>
      <w:r>
        <w:t>Musterlösung Aufgabe 2</w:t>
      </w:r>
    </w:p>
    <w:p>
      <w:r>
        <w:t>`Beitragspflicht` als gemeinsamer Vertrag; zwei überschreibende Implementierungen; Aufruf über `List&lt;Beitragspflicht&gt;` ohne Typabfrage.</w:t>
      </w:r>
    </w:p>
    <w:p>
      <w:pPr>
        <w:pStyle w:val="Heading2"/>
      </w:pPr>
      <w:r>
        <w:t>Musterlösung Aufgabe 3</w:t>
      </w:r>
    </w:p>
    <w:p>
      <w:r>
        <w:t>View: Ein-/Ausgabe; Controller: Ereignisablauf; Service: Fachanwendungsfall/Validierung; Repository: Persistenz. Fehler wird fachlich oder technisch abgegrenzt und verständlich angezeigt.</w:t>
      </w:r>
    </w:p>
    <w:p>
      <w:pPr>
        <w:pStyle w:val="Heading2"/>
      </w:pPr>
      <w:r>
        <w:t>Musterlösung Aufgabe 4</w:t>
      </w:r>
    </w:p>
    <w:p>
      <w:r>
        <w:t>SQL mit `?`; Connection, PreparedStatement und ResultSet in try-with-resources; `setInt/setString`; Mapping aller Spalten; Optional.empty bei fehlender Zeile.</w:t>
      </w:r>
    </w:p>
    <w:p>
      <w:pPr>
        <w:pStyle w:val="Heading2"/>
      </w:pPr>
      <w:r>
        <w:t>Musterlösung Aufgabe 5</w:t>
      </w:r>
    </w:p>
    <w:p>
      <w:r>
        <w:t>Konkatenation erlaubt SQL-Injection. PreparedStatement trennt Befehl und Daten. Passwörter werden mit Salt gehasht; verschlüsselt werden Daten, deren Klartext später benötigt wird.</w:t>
      </w:r>
    </w:p>
    <w:p>
      <w:pPr>
        <w:pStyle w:val="Heading2"/>
      </w:pPr>
      <w:r>
        <w:t>Musterlösung Aufgabe 6</w:t>
      </w:r>
    </w:p>
    <w:p>
      <w:r>
        <w:t>Beispiele: Grenztest Beitrag, Repository-Fehlerfall, neue Beitragsstrategie ohne Clientänderung; Refactoring mit Tests vor und nach Extraktion.</w:t>
      </w:r>
    </w:p>
    <w:p>
      <w:pPr>
        <w:pStyle w:val="Heading1"/>
      </w:pPr>
      <w:r>
        <w:t>Bewertungsraster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213"/>
        <w:gridCol w:w="3213"/>
        <w:gridCol w:w="3213"/>
      </w:tblGrid>
      <w:tr>
        <w:tc>
          <w:tcPr>
            <w:tcW w:type="dxa" w:w="3213"/>
            <w:shd w:fill="D9EFEA"/>
          </w:tcPr>
          <w:p>
            <w:r>
              <w:t>Bereich</w:t>
            </w:r>
          </w:p>
        </w:tc>
        <w:tc>
          <w:tcPr>
            <w:tcW w:type="dxa" w:w="3213"/>
            <w:shd w:fill="D9EFEA"/>
          </w:tcPr>
          <w:p>
            <w:r>
              <w:t>Beobachtbare Kriterien</w:t>
            </w:r>
          </w:p>
        </w:tc>
        <w:tc>
          <w:tcPr>
            <w:tcW w:type="dxa" w:w="3213"/>
            <w:shd w:fill="D9EFEA"/>
          </w:tcPr>
          <w:p>
            <w:r>
              <w:t>Punkte</w:t>
            </w:r>
          </w:p>
        </w:tc>
      </w:tr>
      <w:tr>
        <w:tc>
          <w:tcPr>
            <w:tcW w:type="dxa" w:w="3213"/>
          </w:tcPr>
          <w:p>
            <w:r>
              <w:t>Modell</w:t>
            </w:r>
          </w:p>
        </w:tc>
        <w:tc>
          <w:tcPr>
            <w:tcW w:type="dxa" w:w="3213"/>
          </w:tcPr>
          <w:p>
            <w:r>
              <w:t>Klassen/Interface 4 · Attribute/Methoden 4 · Multiplizitäten 3 · Kapselung 2 · Lebensdauerbegründung 2</w:t>
            </w:r>
          </w:p>
        </w:tc>
        <w:tc>
          <w:tcPr>
            <w:tcW w:type="dxa" w:w="3213"/>
          </w:tcPr>
          <w:p>
            <w:r>
              <w:t>15</w:t>
            </w:r>
          </w:p>
        </w:tc>
      </w:tr>
      <w:tr>
        <w:tc>
          <w:tcPr>
            <w:tcW w:type="dxa" w:w="3213"/>
          </w:tcPr>
          <w:p>
            <w:r>
              <w:t>Polymorphie</w:t>
            </w:r>
          </w:p>
        </w:tc>
        <w:tc>
          <w:tcPr>
            <w:tcW w:type="dxa" w:w="3213"/>
          </w:tcPr>
          <w:p>
            <w:r>
              <w:t>Vertrag 3 · zwei Implementierungen 5 · dynamischer Aufruf 3 · keine Typabfrage 2 · Test 1</w:t>
            </w:r>
          </w:p>
        </w:tc>
        <w:tc>
          <w:tcPr>
            <w:tcW w:type="dxa" w:w="3213"/>
          </w:tcPr>
          <w:p>
            <w:r>
              <w:t>14</w:t>
            </w:r>
          </w:p>
        </w:tc>
      </w:tr>
      <w:tr>
        <w:tc>
          <w:tcPr>
            <w:tcW w:type="dxa" w:w="3213"/>
          </w:tcPr>
          <w:p>
            <w:r>
              <w:t>Architektur</w:t>
            </w:r>
          </w:p>
        </w:tc>
        <w:tc>
          <w:tcPr>
            <w:tcW w:type="dxa" w:w="3213"/>
          </w:tcPr>
          <w:p>
            <w:r>
              <w:t>vier Verantwortungen 4 · Ablauf 4 · Fehlerweg 2</w:t>
            </w:r>
          </w:p>
        </w:tc>
        <w:tc>
          <w:tcPr>
            <w:tcW w:type="dxa" w:w="3213"/>
          </w:tcPr>
          <w:p>
            <w:r>
              <w:t>10</w:t>
            </w:r>
          </w:p>
        </w:tc>
      </w:tr>
      <w:tr>
        <w:tc>
          <w:tcPr>
            <w:tcW w:type="dxa" w:w="3213"/>
          </w:tcPr>
          <w:p>
            <w:r>
              <w:t>JDBC</w:t>
            </w:r>
          </w:p>
        </w:tc>
        <w:tc>
          <w:tcPr>
            <w:tcW w:type="dxa" w:w="3213"/>
          </w:tcPr>
          <w:p>
            <w:r>
              <w:t>SQL/Platzhalter 3 · Ressourcen 3 · Bindung 2 · Ausführung 2 · Mapping/Optional 4 · Fehlergrenze 2</w:t>
            </w:r>
          </w:p>
        </w:tc>
        <w:tc>
          <w:tcPr>
            <w:tcW w:type="dxa" w:w="3213"/>
          </w:tcPr>
          <w:p>
            <w:r>
              <w:t>16</w:t>
            </w:r>
          </w:p>
        </w:tc>
      </w:tr>
      <w:tr>
        <w:tc>
          <w:tcPr>
            <w:tcW w:type="dxa" w:w="3213"/>
          </w:tcPr>
          <w:p>
            <w:r>
              <w:t>Sicherheit</w:t>
            </w:r>
          </w:p>
        </w:tc>
        <w:tc>
          <w:tcPr>
            <w:tcW w:type="dxa" w:w="3213"/>
          </w:tcPr>
          <w:p>
            <w:r>
              <w:t>Risiko 2 · PreparedStatement 3 · Hashing 2 · Verschlüsselung 2 · Fälle 1</w:t>
            </w:r>
          </w:p>
        </w:tc>
        <w:tc>
          <w:tcPr>
            <w:tcW w:type="dxa" w:w="3213"/>
          </w:tcPr>
          <w:p>
            <w:r>
              <w:t>10</w:t>
            </w:r>
          </w:p>
        </w:tc>
      </w:tr>
      <w:tr>
        <w:tc>
          <w:tcPr>
            <w:tcW w:type="dxa" w:w="3213"/>
          </w:tcPr>
          <w:p>
            <w:r>
              <w:t>Qualität</w:t>
            </w:r>
          </w:p>
        </w:tc>
        <w:tc>
          <w:tcPr>
            <w:tcW w:type="dxa" w:w="3213"/>
          </w:tcPr>
          <w:p>
            <w:r>
              <w:t>zwei Tests 3 · Refactoring mit Nachweis 2</w:t>
            </w:r>
          </w:p>
        </w:tc>
        <w:tc>
          <w:tcPr>
            <w:tcW w:type="dxa" w:w="3213"/>
          </w:tcPr>
          <w:p>
            <w:r>
              <w:t>5</w:t>
            </w:r>
          </w:p>
        </w:tc>
      </w:tr>
    </w:tbl>
    <w:p>
      <w:r>
        <w:t>Notenschlüssel für 70 Punkte: ab 95 % sehr gut · ab 80 % gut · ab 65 % befriedigend · ab 50 % ausreichend · ab 30 % mangelhaft · darunter ungenügend. Schulisch verbindliche Vorgaben gehen vor.</w:t>
      </w:r>
    </w:p>
    <w:p>
      <w:pPr>
        <w:pStyle w:val="Heading1"/>
      </w:pPr>
      <w:r>
        <w:t>Typische Fehler und Alternativen</w:t>
      </w:r>
    </w:p>
    <w:p>
      <w:r>
        <w:t>Typische Fehler: Typabfrage statt Polymorphie, SQL in der View, unvollständiges Ressourcenmanagement, Parameterkonkatenation, Gleichsetzung von Hashing und Verschlüsselung. Gleichwertige DAO-/Repository-Bezeichnungen und andere fachlich konsistente Beitragssätze sind zulässig, sofern Vertrag und Prüfkriterien erfüllt sind.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Noto Serif" w:hAnsi="Noto Serif"/>
      <w:b/>
      <w:color w:val="176B62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BKWI2 – Musterlösung Objektorientierte Systementwicklung</dc:title>
  <dc:subject>Unterrichtsskript im einheitlichen EDUCODE LAB Serienmaster R4</dc:subject>
  <dc:creator>Christine Janischek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