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OOP v1.2 – Prüfungsanker und Korrekturhinweise</w:t>
      </w:r>
    </w:p>
    <w:bookmarkStart w:id="21" w:name="prüfungsanker-und-punkteschlüssel"/>
    <w:p>
      <w:pPr>
        <w:pStyle w:val="Heading1"/>
        <w:keepNext/>
      </w:pPr>
      <w:r>
        <w:t xml:space="preserve">Prüfungsanker und Punkteschlüssel</w:t>
      </w:r>
    </w:p>
    <w:tbl>
      <w:tblPr>
        <w:tblStyle w:val="Table"/>
        <w:tblW w:type="pct" w:w="5000"/>
        <w:tblLayout w:type="autofit"/>
        <w:tblLook w:firstRow="1" w:lastRow="0" w:firstColumn="0" w:lastColumn="0" w:noHBand="0" w:noVBand="0" w:val="0020"/>
        <w:jc w:val="start"/>
      </w:tblPr>
      <w:tblGrid>
        <w:gridCol w:w="1827"/>
        <w:gridCol w:w="1827"/>
        <w:gridCol w:w="2436"/>
        <w:gridCol w:w="1827"/>
      </w:tblGrid>
      <w:tr>
        <w:trPr>
          <w:tblHeader w:val="true"/>
          <w:tblHeader w:val="true"/>
        </w:trPr>
        <w:tc>
          <w:tcPr>
            <w:shd w:fill="176B62"/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b/>
                <w:color w:val="FFFFFF"/>
                <w:sz w:val="16"/>
              </w:rPr>
              <w:t xml:space="preserve">Aufgaben-ID</w:t>
            </w:r>
          </w:p>
        </w:tc>
        <w:tc>
          <w:tcPr>
            <w:shd w:fill="176B62"/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b/>
                <w:color w:val="FFFFFF"/>
                <w:sz w:val="16"/>
              </w:rPr>
              <w:t xml:space="preserve">Kompetenzbereich</w:t>
            </w:r>
          </w:p>
        </w:tc>
        <w:tc>
          <w:tcPr>
            <w:shd w:fill="176B62"/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b/>
                <w:color w:val="FFFFFF"/>
                <w:sz w:val="16"/>
              </w:rPr>
              <w:t xml:space="preserve">Punkte</w:t>
            </w:r>
          </w:p>
        </w:tc>
        <w:tc>
          <w:tcPr>
            <w:shd w:fill="176B62"/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b/>
                <w:color w:val="FFFFFF"/>
                <w:sz w:val="16"/>
              </w:rPr>
              <w:t xml:space="preserve">Verteilung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OOP-K01-A04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Kapitel 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6"/>
              </w:rPr>
              <w:t xml:space="preserve">20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Fachmodell 6 · Umsetzung 6 · Nachweis 5 · Begründung 3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OOP-K02-A02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Kapitel 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6"/>
              </w:rPr>
              <w:t xml:space="preserve">20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Fachmodell 6 · Umsetzung 6 · Nachweis 5 · Begründung 3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OOP-K03-A01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Kapitel 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6"/>
              </w:rPr>
              <w:t xml:space="preserve">20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Fachmodell 6 · Umsetzung 6 · Nachweis 5 · Begründung 3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OOP-K03-A03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Kapitel 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6"/>
              </w:rPr>
              <w:t xml:space="preserve">20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Fachmodell 6 · Umsetzung 6 · Nachweis 5 · Begründung 3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OOP-K04-A05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Kapitel 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6"/>
              </w:rPr>
              <w:t xml:space="preserve">20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Fachmodell 6 · Umsetzung 6 · Nachweis 5 · Begründung 3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OOP-K05-A01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Kapitel 5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6"/>
              </w:rPr>
              <w:t xml:space="preserve">20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Fachmodell 6 · Umsetzung 6 · Nachweis 5 · Begründung 3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OOP-K06-A02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Kapitel 6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6"/>
              </w:rPr>
              <w:t xml:space="preserve">20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Fachmodell 6 · Umsetzung 6 · Nachweis 5 · Begründung 3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OOP-K07-A02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Kapitel 7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6"/>
              </w:rPr>
              <w:t xml:space="preserve">20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Fachmodell 6 · Umsetzung 6 · Nachweis 5 · Begründung 3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OOP-K07-A03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Kapitel 7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6"/>
              </w:rPr>
              <w:t xml:space="preserve">20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Fachmodell 6 · Umsetzung 6 · Nachweis 5 · Begründung 3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OOP-K08-A01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Kapitel 8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6"/>
              </w:rPr>
              <w:t xml:space="preserve">20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Fachmodell 6 · Umsetzung 6 · Nachweis 5 · Begründung 3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OOP-K08-A02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Kapitel 8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6"/>
              </w:rPr>
              <w:t xml:space="preserve">20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Fachmodell 6 · Umsetzung 6 · Nachweis 5 · Begründung 3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OOP-K08-A04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Kapitel 8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6"/>
              </w:rPr>
              <w:t xml:space="preserve">20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Fachmodell 6 · Umsetzung 6 · Nachweis 5 · Begründung 3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OOP-K09-A04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Kapitel 9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6"/>
              </w:rPr>
              <w:t xml:space="preserve">20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Fachmodell 6 · Umsetzung 6 · Nachweis 5 · Begründung 3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OOP-K10-A04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Kapitel 10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6"/>
              </w:rPr>
              <w:t xml:space="preserve">20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Fachmodell 6 · Umsetzung 6 · Nachweis 5 · Begründung 3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OOP-K11-A05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Kapitel 11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6"/>
              </w:rPr>
              <w:t xml:space="preserve">20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Fachmodell 6 · Umsetzung 6 · Nachweis 5 · Begründung 3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OOP-K12-A05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Kapitel 12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6"/>
              </w:rPr>
              <w:t xml:space="preserve">20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Fachmodell 6 · Umsetzung 6 · Nachweis 5 · Begründung 3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OOP-K13-A02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Kapitel 13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6"/>
              </w:rPr>
              <w:t xml:space="preserve">20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Fachmodell 6 · Umsetzung 6 · Nachweis 5 · Begründung 3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OOP-K14-A04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Kapitel 14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6"/>
              </w:rPr>
              <w:t xml:space="preserve">20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6"/>
              </w:rPr>
              <w:t xml:space="preserve">Fachmodell 6 · Umsetzung 6 · Nachweis 5 · Begründung 3</w:t>
            </w:r>
          </w:p>
        </w:tc>
      </w:tr>
    </w:tbl>
    <w:bookmarkStart w:id="20" w:name="notenschlüssel-für-20-punkte-anker"/>
    <w:p>
      <w:pPr>
        <w:pStyle w:val="Heading2"/>
        <w:keepNext/>
      </w:pPr>
      <w:r>
        <w:t xml:space="preserve">Notenschlüssel für 20-Punkte-Anker</w:t>
      </w:r>
    </w:p>
    <w:p>
      <w:pPr>
        <w:pStyle w:val="FirstParagraph"/>
      </w:pPr>
      <w:r>
        <w:t xml:space="preserve">19–20 sehr gut · 16–18 gut · 13–15 befriedigend · 10–12 ausreichend · 6–9 mangelhaft · 0–5 ungenügend. Die schulisch verbindliche Notenbildungsverordnung bleibt maßgeblich.</w:t>
      </w:r>
    </w:p>
    <w:bookmarkEnd w:id="20"/>
    <w:bookmarkEnd w:id="21"/>
    <w:sectPr>
      <w:footerReference w:type="default" r:id="rId9"/>
      <w:headerReference w:type="default" r:id="rId10"/>
      <w:headerReference w:type="first" r:id="rId11"/>
      <w:footerReference w:type="first" r:id="rId12"/>
      <w:pgSz w:orient="landscape" w:w="16838" w:h="11906"/>
      <w:pgMar w:left="850" w:right="850" w:top="765" w:bottom="765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5A6970"/>
        <w:sz w:val="16"/>
      </w:rPr>
      <w:t>Christine Janischek · OOP-Arbeitsfassung v1.2 · KI-unterstützt · Fehler bitte melden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  <w:pPr>
      <w:spacing w:after="80"/>
    </w:pPr>
    <w:rPr>
      <w:rFonts w:ascii="Aptos" w:hAnsi="Aptos"/>
      <w:color w:val="263238"/>
      <w:sz w:val="21"/>
    </w:rPr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 w:ascii="Arial" w:hAnsi="Arial"/>
      <w:b/>
      <w:bCs/>
      <w:color w:val="176B62"/>
      <w:sz w:val="44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jc w:val="center"/>
      <w:spacing w:after="0" w:before="300"/>
    </w:pPr>
    <w:rPr>
      <w:sz w:val="20"/>
      <w:szCs w:val="20"/>
      <w:b/>
      <w:color w:val="345A8A"/>
      &gt;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 w:ascii="Arial" w:hAnsi="Arial"/>
      <w:b/>
      <w:bCs/>
      <w:color w:val="176B62"/>
      <w:sz w:val="34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 w:ascii="Arial" w:hAnsi="Arial"/>
      <w:b/>
      <w:bCs/>
      <w:color w:val="176B62"/>
      <w:sz w:val="26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 w:ascii="Arial" w:hAnsi="Arial"/>
      <w:b/>
      <w:bCs/>
      <w:color w:val="176B62"/>
      <w:sz w:val="22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9" Type="http://schemas.openxmlformats.org/officeDocument/2006/relationships/footer" Target="footer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 v12 Pruefungsanker und Korrekturhinweise</dc:title>
  <dc:creator/>
  <cp:keywords/>
  <dcterms:created xsi:type="dcterms:W3CDTF">2026-09-08T22:37:28Z</dcterms:created>
  <dcterms:modified xsi:type="dcterms:W3CDTF">2026-09-08T22:37:28Z</dcterms:modified>
  <dc:subject>Unterrichtsskript im einheitlichen EDUCODE LAB Serienmaster R4</dc:subject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