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lang w:val="de-DE"/>
        </w:rPr>
        <w:t>Eine Sätze und Kardinalitäten</w:t>
      </w:r>
    </w:p>
    <w:p>
      <w:pPr>
        <w:jc w:val="center"/>
      </w:pPr>
      <w:r>
        <w:rPr>
          <w:lang w:val="de-DE"/>
        </w:rPr>
        <w:t>RDB-K03-A01 eine saetze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00"/>
        <w:gridCol w:w="5100"/>
      </w:tblGrid>
      <w:tr>
        <w:trPr>
          <w:tblHeader w:val="true"/>
        </w:trPr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Baustein</w:t>
            </w:r>
          </w:p>
        </w:tc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Deine Ausarbeitung</w:t>
            </w:r>
          </w:p>
        </w:tc>
      </w:tr>
      <w:tr>
        <w:tc>
          <w:tcPr>
            <w:tcW w:type="dxa" w:w="5100"/>
          </w:tcPr>
          <w:p>
            <w:r>
              <w:t>Beziehung 1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Eine-Satz Richtung A nach B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Eine-Satz Richtung B nach A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Minimum und Maximum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Begründung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