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lang w:val="de-DE"/>
        </w:rPr>
        <w:t>Löschregeln bewerten</w:t>
      </w:r>
    </w:p>
    <w:p>
      <w:pPr>
        <w:jc w:val="center"/>
      </w:pPr>
      <w:r>
        <w:rPr>
          <w:lang w:val="de-DE"/>
        </w:rPr>
        <w:t>RDB-K06-A02 loeschregeln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00"/>
        <w:gridCol w:w="5100"/>
      </w:tblGrid>
      <w:tr>
        <w:trPr>
          <w:tblHeader w:val="true"/>
        </w:trPr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Baustein</w:t>
            </w:r>
          </w:p>
        </w:tc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Deine Ausarbeitung</w:t>
            </w:r>
          </w:p>
        </w:tc>
      </w:tr>
      <w:tr>
        <w:tc>
          <w:tcPr>
            <w:tcW w:type="dxa" w:w="5100"/>
          </w:tcPr>
          <w:p>
            <w:r>
              <w:t>Regel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Wirkung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Nutzen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Risiko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Empfehlung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