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Schutzkonzept</w:t>
      </w:r>
    </w:p>
    <w:p>
      <w:pPr>
        <w:jc w:val="center"/>
      </w:pPr>
      <w:r>
        <w:rPr>
          <w:lang w:val="de-DE"/>
        </w:rPr>
        <w:t>RDB-K12-A02 schutzkonzept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Zweck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erforderliche Daten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nicht erforderliche Daten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Rollen und Rechte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Aufbewahrung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Transparenz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begründetes Urteil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