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Transfer zum Webprojekt</w:t>
      </w:r>
    </w:p>
    <w:p>
      <w:pPr>
        <w:jc w:val="center"/>
      </w:pPr>
      <w:r>
        <w:rPr>
          <w:lang w:val="de-DE"/>
        </w:rPr>
        <w:t>RDB-K14-A03 webprojekt transfer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veränderliche Daten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Entitätstypen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Schlüssel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Beziehungen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drei SQL-Fragen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Abgrenzung zur späteren dynamischen Anwendung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