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07C78"/>
          <w:sz w:val="48"/>
        </w:rPr>
        <w:t>Lehrkraftleitfaden Webentwicklung</w:t>
      </w:r>
    </w:p>
    <w:p>
      <w:pPr>
        <w:jc w:val="center"/>
      </w:pPr>
      <w:r>
        <w:rPr>
          <w:color w:val="17324D"/>
          <w:sz w:val="24"/>
        </w:rPr>
        <w:t>Lösungen, Erwartungshorizonte, Mockup-Raster und Korrekturhinweise · Masterfassung v1.1</w:t>
      </w:r>
    </w:p>
    <w:p/>
    <w:p>
      <w:pPr>
        <w:pStyle w:val="Heading1"/>
      </w:pPr>
      <w:r>
        <w:t>Einsatz und Pakettrennung</w:t>
      </w:r>
    </w:p>
    <w:p>
      <w:r>
        <w:t>Das Schülerpaket enthält keine Lösungen. Der Unterricht beginnt offline. GitHub, Onlinevalidatoren und KI sind im Pflichtweg nicht technisch erforderlich. Der KI-Lernagent unterstützt ausschließlich nach einem eigenen Versuch.</w:t>
      </w:r>
    </w:p>
    <w:p>
      <w:pPr>
        <w:pStyle w:val="Heading1"/>
      </w:pPr>
      <w:r>
        <w:t>Aufgaben- und Bewertungsmatrix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73"/>
        <w:gridCol w:w="1973"/>
        <w:gridCol w:w="1973"/>
        <w:gridCol w:w="1973"/>
        <w:gridCol w:w="1973"/>
      </w:tblGrid>
      <w:tr>
        <w:trPr>
          <w:tblHeader w:val="true"/>
        </w:trPr>
        <w:tc>
          <w:tcPr>
            <w:tcW w:type="dxa" w:w="1973"/>
            <w:shd w:fill="007C78"/>
            <w:vAlign w:val="center"/>
          </w:tcPr>
          <w:p>
            <w:r/>
            <w:r>
              <w:rPr>
                <w:b/>
                <w:color w:val="FFFFFF"/>
                <w:sz w:val="16"/>
              </w:rPr>
              <w:t>ID</w:t>
            </w:r>
          </w:p>
        </w:tc>
        <w:tc>
          <w:tcPr>
            <w:tcW w:type="dxa" w:w="1973"/>
            <w:shd w:fill="007C78"/>
            <w:vAlign w:val="center"/>
          </w:tcPr>
          <w:p>
            <w:r/>
            <w:r>
              <w:rPr>
                <w:b/>
                <w:color w:val="FFFFFF"/>
                <w:sz w:val="16"/>
              </w:rPr>
              <w:t>Lernprodukt</w:t>
            </w:r>
          </w:p>
        </w:tc>
        <w:tc>
          <w:tcPr>
            <w:tcW w:type="dxa" w:w="1973"/>
            <w:shd w:fill="007C78"/>
            <w:vAlign w:val="center"/>
          </w:tcPr>
          <w:p>
            <w:r/>
            <w:r>
              <w:rPr>
                <w:b/>
                <w:color w:val="FFFFFF"/>
                <w:sz w:val="16"/>
              </w:rPr>
              <w:t>Punkte</w:t>
            </w:r>
          </w:p>
        </w:tc>
        <w:tc>
          <w:tcPr>
            <w:tcW w:type="dxa" w:w="1973"/>
            <w:shd w:fill="007C78"/>
            <w:vAlign w:val="center"/>
          </w:tcPr>
          <w:p>
            <w:r/>
            <w:r>
              <w:rPr>
                <w:b/>
                <w:color w:val="FFFFFF"/>
                <w:sz w:val="16"/>
              </w:rPr>
              <w:t>Kernkriterien</w:t>
            </w:r>
          </w:p>
        </w:tc>
        <w:tc>
          <w:tcPr>
            <w:tcW w:type="dxa" w:w="1973"/>
            <w:shd w:fill="007C78"/>
            <w:vAlign w:val="center"/>
          </w:tcPr>
          <w:p>
            <w:r/>
            <w:r>
              <w:rPr>
                <w:b/>
                <w:color w:val="FFFFFF"/>
                <w:sz w:val="16"/>
              </w:rPr>
              <w:t>Typische Fehler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WEB-K01-A01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Webprojekt erkunden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12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WEB-K02-A01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Pfade reparieren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16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WEB-K02-A02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Pfad-Fehlersuche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8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WEB-K03-A01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HTML-Grundgerüst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14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WEB-K04-A01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Semantische Struktur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16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WEB-K05-A01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Navigation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16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WEB-K06-A01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Validierung und Barrieren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18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WEB-K07-A01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CSS und Kaskade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16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WEB-K08-A01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Corporate Design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18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WEB-K09-A01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Box-Modell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16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WEB-K10-A01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Flexbox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18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WEB-K11-A01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CSS Grid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18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WEB-K12-A01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Flexbox und Grid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20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WEB-K13-A01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Responsive Design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22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WEB-K13-A02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Responsive Praxischeck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20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Struktur 4 · Fehlerbehebung 6 · responsive Regel 4 · Tests 4 · Begründung 2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WEB-K14-A01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Tabellen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16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WEB-K15-A01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Bilder und Medien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18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WEB-K16-A01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Galerie und Fokus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20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WEB-K17-A01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Qualität und Recht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18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Fachrichtigkeit 40 % · Funktion 30 % · Prüfung 20 % · Begründung 10 %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  <w:tr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WEB-K18-A01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Abschlussprojekt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40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Mockup 8 · Semantik 8 · Layout 10 · Responsivität 6 · Qualität 4 · Dokumentation 4</w:t>
            </w:r>
          </w:p>
        </w:tc>
        <w:tc>
          <w:tcPr>
            <w:tcW w:type="dxa" w:w="1973"/>
            <w:vAlign w:val="center"/>
          </w:tcPr>
          <w:p>
            <w:r/>
            <w:r>
              <w:rPr>
                <w:b w:val="0"/>
                <w:sz w:val="15"/>
              </w:rPr>
              <w:t>unbegründete Kopie; fehlender Test; absolute lokale Pfade; nur visuelle statt semantische Lösung</w:t>
            </w:r>
          </w:p>
        </w:tc>
      </w:tr>
    </w:tbl>
    <w:p>
      <w:pPr>
        <w:pStyle w:val="Heading1"/>
      </w:pPr>
      <w:r>
        <w:t>Mockup-Erwartungshorizont</w:t>
      </w:r>
    </w:p>
    <w:p>
      <w:r>
        <w:t>Für alle Mockup-Aufträge wird derselbe Ablauf bewertet. Dadurch entsteht der gewünschte Wiedererkennungseffekt.</w:t>
      </w:r>
    </w:p>
    <w:p>
      <w:r>
        <w:t>Analyse (25 %): Bereiche, Hierarchie, Inhalte, Aktionen und Zustände vollständig markiert.</w:t>
      </w:r>
    </w:p>
    <w:p>
      <w:r>
        <w:t>Ableitung (25 %): passende semantische Elemente und begründetes Flexbox-/Grid-Konzept.</w:t>
      </w:r>
    </w:p>
    <w:p>
      <w:r>
        <w:t>Umsetzung (30 %): funktional, responsiv, ohne horizontalen Bildlauf; Quellreihenfolge bleibt sinnvoll.</w:t>
      </w:r>
    </w:p>
    <w:p>
      <w:r>
        <w:t>Prüfung (15 %): 360/768/1280 px, Tastatur, Zoom und sichtbarer Fokus dokumentiert.</w:t>
      </w:r>
    </w:p>
    <w:p>
      <w:r>
        <w:t>Reflexion (5 %): Abweichungen als Fehler, Verbesserung oder notwendige Anpassung eingeordnet.</w:t>
      </w:r>
    </w:p>
    <w:p>
      <w:pPr>
        <w:pStyle w:val="Heading1"/>
      </w:pPr>
      <w:r>
        <w:t>Musterlösungen und zulässige Varianten</w:t>
      </w:r>
    </w:p>
    <w:p>
      <w:r>
        <w:t>Die Lösungsprojekte im Ordner 03_Lehrkraftmaterial/Loesungsprojekte sind Referenzen, keine einzig zulässigen Gestaltungen. Andere Lösungen sind gleichwertig, wenn Semantik, Funktion, Responsivität, Zugänglichkeit und Begründung erfüllt sind.</w:t>
      </w:r>
    </w:p>
    <w:p>
      <w:pPr>
        <w:pStyle w:val="Heading2"/>
      </w:pPr>
      <w:r>
        <w:t>WEB-K01-A01 · Webprojekt erkunden</w:t>
      </w:r>
    </w:p>
    <w:p>
      <w:r>
        <w:t>Maximal 12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WEB-K02-A01 · Pfade reparieren</w:t>
      </w:r>
    </w:p>
    <w:p>
      <w:r>
        <w:t>Maximal 16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WEB-K02-A02 · Pfad-Fehlersuche</w:t>
      </w:r>
    </w:p>
    <w:p>
      <w:r>
        <w:t>Maximal 8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WEB-K03-A01 · HTML-Grundgerüst</w:t>
      </w:r>
    </w:p>
    <w:p>
      <w:r>
        <w:t>Maximal 14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WEB-K04-A01 · Semantische Struktur</w:t>
      </w:r>
    </w:p>
    <w:p>
      <w:r>
        <w:t>Maximal 16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WEB-K05-A01 · Navigation</w:t>
      </w:r>
    </w:p>
    <w:p>
      <w:r>
        <w:t>Maximal 16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WEB-K06-A01 · Validierung und Barrieren</w:t>
      </w:r>
    </w:p>
    <w:p>
      <w:r>
        <w:t>Maximal 18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WEB-K07-A01 · CSS und Kaskade</w:t>
      </w:r>
    </w:p>
    <w:p>
      <w:r>
        <w:t>Maximal 16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WEB-K08-A01 · Corporate Design</w:t>
      </w:r>
    </w:p>
    <w:p>
      <w:r>
        <w:t>Maximal 18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WEB-K09-A01 · Box-Modell</w:t>
      </w:r>
    </w:p>
    <w:p>
      <w:r>
        <w:t>Maximal 16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WEB-K10-A01 · Flexbox</w:t>
      </w:r>
    </w:p>
    <w:p>
      <w:r>
        <w:t>Maximal 18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WEB-K11-A01 · CSS Grid</w:t>
      </w:r>
    </w:p>
    <w:p>
      <w:r>
        <w:t>Maximal 18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WEB-K12-A01 · Flexbox und Grid</w:t>
      </w:r>
    </w:p>
    <w:p>
      <w:r>
        <w:t>Maximal 20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WEB-K13-A01 · Responsive Design</w:t>
      </w:r>
    </w:p>
    <w:p>
      <w:r>
        <w:t>Maximal 22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WEB-K13-A02 · Responsive Praxischeck</w:t>
      </w:r>
    </w:p>
    <w:p>
      <w:r>
        <w:t>Maximal 20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WEB-K14-A01 · Tabellen</w:t>
      </w:r>
    </w:p>
    <w:p>
      <w:r>
        <w:t>Maximal 16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WEB-K15-A01 · Bilder und Medien</w:t>
      </w:r>
    </w:p>
    <w:p>
      <w:r>
        <w:t>Maximal 18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WEB-K16-A01 · Galerie und Fokus</w:t>
      </w:r>
    </w:p>
    <w:p>
      <w:r>
        <w:t>Maximal 20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WEB-K17-A01 · Qualität und Recht</w:t>
      </w:r>
    </w:p>
    <w:p>
      <w:r>
        <w:t>Maximal 18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2"/>
      </w:pPr>
      <w:r>
        <w:t>WEB-K18-A01 · Abschlussprojekt</w:t>
      </w:r>
    </w:p>
    <w:p>
      <w:r>
        <w:t>Maximal 40 Punkte. Erwartet wird das im Master benannte Lernprodukt sowie ein nachvollziehbarer Prüfnachweis. Die Referenzdateien liegen im gleichnamigen Lösungsordner.</w:t>
      </w:r>
    </w:p>
    <w:p>
      <w:r>
        <w:t>Korrekturanker: zuerst Funktion und Semantik, danach Layoutqualität, Testnachweis und Begründung. Reine Geschmacksurteile werden nicht bewertet.</w:t>
      </w:r>
    </w:p>
    <w:p>
      <w:pPr>
        <w:pStyle w:val="Heading1"/>
      </w:pPr>
      <w:r>
        <w:t>Notenschlüssel Musterklassenarbeit</w:t>
      </w:r>
    </w:p>
    <w:p>
      <w:r>
        <w:t>60 Punkte: Note 1 ab 55, Note 2 ab 49, Note 3 ab 40, Note 4 ab 30, Note 5 ab 15, Note 6 unter 15 Punkten. Schulinterne Regelungen haben Vorrang.</w:t>
      </w:r>
    </w:p>
    <w:p>
      <w:pPr>
        <w:pStyle w:val="Heading1"/>
      </w:pPr>
      <w:r>
        <w:t>Offline-Abnahme</w:t>
      </w:r>
    </w:p>
    <w:p>
      <w:r>
        <w:t>☐ ZIP in Pfad mit Leerzeichen entpacken</w:t>
      </w:r>
    </w:p>
    <w:p>
      <w:r>
        <w:t>☐ START_HIER.html öffnen</w:t>
      </w:r>
    </w:p>
    <w:p>
      <w:r>
        <w:t>☐ alle lokalen Links und Medien prüfen</w:t>
      </w:r>
    </w:p>
    <w:p>
      <w:r>
        <w:t>☐ Starter ohne Internet bearbeiten</w:t>
      </w:r>
    </w:p>
    <w:p>
      <w:r>
        <w:t>☐ Lösungsdateien im Schülerpaket ausschließen</w:t>
      </w:r>
    </w:p>
    <w:p>
      <w:r>
        <w:t>☐ IDs zwischen Skript, Starter, Lösung und Bewertung abgleichen</w:t>
      </w:r>
    </w:p>
    <w:sectPr w:rsidR="00FC693F" w:rsidRPr="0006063C" w:rsidSect="00034616">
      <w:footerReference w:type="default" r:id="rId9"/>
      <w:headerReference w:type="default" r:id="rId10"/>
      <w:headerReference w:type="first" r:id="rId11"/>
      <w:footerReference w:type="first" r:id="rId12"/>
      <w:pgSz w:w="11906" w:h="16838"/>
      <w:pgMar w:top="1020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8706D"/>
        <w:sz w:val="16"/>
      </w:rPr>
      <w:t>BKWI1 · Webentwicklung · v1.1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Lehrkraftleitfaden Webentwicklung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